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545" w:rsidRDefault="00343F4F" w:rsidP="00BF7545">
      <w:pPr>
        <w:pStyle w:val="SemEspaamento"/>
        <w:jc w:val="center"/>
        <w:rPr>
          <w:rFonts w:ascii="Cambria" w:hAnsi="Cambria"/>
          <w:sz w:val="72"/>
          <w:szCs w:val="72"/>
        </w:rPr>
      </w:pPr>
      <w:r>
        <w:rPr>
          <w:rFonts w:ascii="Cambria" w:hAnsi="Cambria"/>
          <w:noProof/>
          <w:sz w:val="72"/>
          <w:szCs w:val="72"/>
          <w:lang w:eastAsia="pt-BR"/>
        </w:rPr>
        <w:drawing>
          <wp:anchor distT="0" distB="0" distL="114300" distR="114300" simplePos="0" relativeHeight="251591168" behindDoc="1" locked="0" layoutInCell="1" allowOverlap="1">
            <wp:simplePos x="0" y="0"/>
            <wp:positionH relativeFrom="column">
              <wp:posOffset>-155882</wp:posOffset>
            </wp:positionH>
            <wp:positionV relativeFrom="paragraph">
              <wp:posOffset>361446</wp:posOffset>
            </wp:positionV>
            <wp:extent cx="6167252" cy="8045807"/>
            <wp:effectExtent l="57150" t="0" r="62098" b="50443"/>
            <wp:wrapNone/>
            <wp:docPr id="43489449" name="Imagem 1" descr="Rio Sapuc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io Sapucai 1"/>
                    <pic:cNvPicPr>
                      <a:picLocks noChangeAspect="1" noChangeArrowheads="1"/>
                    </pic:cNvPicPr>
                  </pic:nvPicPr>
                  <pic:blipFill>
                    <a:blip r:embed="rId7" cstate="print">
                      <a:grayscl/>
                    </a:blip>
                    <a:srcRect/>
                    <a:stretch>
                      <a:fillRect/>
                    </a:stretch>
                  </pic:blipFill>
                  <pic:spPr bwMode="auto">
                    <a:xfrm>
                      <a:off x="0" y="0"/>
                      <a:ext cx="6160135" cy="8036522"/>
                    </a:xfrm>
                    <a:prstGeom prst="rect">
                      <a:avLst/>
                    </a:prstGeom>
                    <a:noFill/>
                    <a:ln w="9525">
                      <a:noFill/>
                      <a:miter lim="800000"/>
                      <a:headEnd/>
                      <a:tailEnd/>
                    </a:ln>
                    <a:effectLst>
                      <a:outerShdw blurRad="50800" dist="50800" dir="5400000" algn="ctr" rotWithShape="0">
                        <a:srgbClr val="000000">
                          <a:alpha val="21000"/>
                        </a:srgbClr>
                      </a:outerShdw>
                    </a:effectLst>
                  </pic:spPr>
                </pic:pic>
              </a:graphicData>
            </a:graphic>
          </wp:anchor>
        </w:drawing>
      </w:r>
    </w:p>
    <w:p w:rsidR="00BF7545" w:rsidRDefault="00BF7545" w:rsidP="00BF7545">
      <w:pPr>
        <w:pStyle w:val="SemEspaamento"/>
        <w:jc w:val="center"/>
        <w:rPr>
          <w:rFonts w:ascii="Cambria" w:hAnsi="Cambria"/>
          <w:sz w:val="72"/>
          <w:szCs w:val="72"/>
        </w:rPr>
      </w:pPr>
    </w:p>
    <w:p w:rsidR="00BF7545" w:rsidRDefault="00BF7545" w:rsidP="00BF7545">
      <w:pPr>
        <w:pStyle w:val="SemEspaamento"/>
        <w:jc w:val="center"/>
        <w:rPr>
          <w:rFonts w:ascii="Cambria" w:hAnsi="Cambria"/>
          <w:sz w:val="72"/>
          <w:szCs w:val="72"/>
        </w:rPr>
      </w:pPr>
      <w:r>
        <w:rPr>
          <w:rFonts w:ascii="Cambria" w:hAnsi="Cambria"/>
          <w:sz w:val="72"/>
          <w:szCs w:val="72"/>
        </w:rPr>
        <w:t>Relatório de Situação dos Recursos Hídricos – 2011</w:t>
      </w:r>
    </w:p>
    <w:p w:rsidR="00BF7545" w:rsidRDefault="00BF7545" w:rsidP="00BF7545">
      <w:pPr>
        <w:pStyle w:val="SemEspaamento"/>
        <w:jc w:val="center"/>
        <w:rPr>
          <w:rFonts w:ascii="Cambria" w:hAnsi="Cambria"/>
          <w:sz w:val="28"/>
          <w:szCs w:val="28"/>
        </w:rPr>
      </w:pPr>
      <w:r>
        <w:rPr>
          <w:rFonts w:ascii="Cambria" w:hAnsi="Cambria"/>
          <w:sz w:val="28"/>
          <w:szCs w:val="28"/>
        </w:rPr>
        <w:t>(</w:t>
      </w:r>
      <w:r w:rsidRPr="00BF7545">
        <w:rPr>
          <w:rFonts w:ascii="Cambria" w:hAnsi="Cambria"/>
          <w:sz w:val="28"/>
          <w:szCs w:val="28"/>
        </w:rPr>
        <w:t>ano base 2010</w:t>
      </w:r>
      <w:r>
        <w:rPr>
          <w:rFonts w:ascii="Cambria" w:hAnsi="Cambria"/>
          <w:sz w:val="28"/>
          <w:szCs w:val="28"/>
        </w:rPr>
        <w:t>)</w:t>
      </w:r>
    </w:p>
    <w:p w:rsidR="00BF7545" w:rsidRDefault="00BF7545" w:rsidP="00BF7545">
      <w:pPr>
        <w:pStyle w:val="SemEspaamento"/>
        <w:jc w:val="center"/>
        <w:rPr>
          <w:rFonts w:ascii="Cambria" w:hAnsi="Cambria"/>
          <w:sz w:val="28"/>
          <w:szCs w:val="28"/>
        </w:rPr>
      </w:pPr>
    </w:p>
    <w:p w:rsidR="00BF7545" w:rsidRPr="00BF7545" w:rsidRDefault="00BF7545" w:rsidP="00BF7545">
      <w:pPr>
        <w:pStyle w:val="SemEspaamento"/>
        <w:jc w:val="center"/>
        <w:rPr>
          <w:rFonts w:ascii="Cambria" w:hAnsi="Cambria"/>
          <w:sz w:val="28"/>
          <w:szCs w:val="28"/>
        </w:rPr>
      </w:pPr>
    </w:p>
    <w:p w:rsidR="00BF7545" w:rsidRDefault="00BF7545" w:rsidP="00BF7545">
      <w:pPr>
        <w:pStyle w:val="SemEspaamento"/>
        <w:jc w:val="center"/>
        <w:rPr>
          <w:rFonts w:ascii="Cambria" w:hAnsi="Cambria"/>
          <w:sz w:val="44"/>
          <w:szCs w:val="44"/>
        </w:rPr>
      </w:pPr>
      <w:r w:rsidRPr="00343F4F">
        <w:rPr>
          <w:rFonts w:ascii="Cambria" w:hAnsi="Cambria"/>
          <w:sz w:val="44"/>
          <w:szCs w:val="44"/>
        </w:rPr>
        <w:t>Bacia Hidrográfica dos rios Sapucaí Mirim/Grande</w:t>
      </w:r>
    </w:p>
    <w:p w:rsidR="00343F4F" w:rsidRDefault="00343F4F" w:rsidP="00343F4F">
      <w:pPr>
        <w:pStyle w:val="SemEspaamento"/>
        <w:jc w:val="center"/>
        <w:rPr>
          <w:rFonts w:ascii="Cambria" w:hAnsi="Cambria"/>
          <w:sz w:val="28"/>
          <w:szCs w:val="28"/>
        </w:rPr>
      </w:pPr>
      <w:r>
        <w:rPr>
          <w:rFonts w:ascii="Cambria" w:hAnsi="Cambria"/>
          <w:sz w:val="28"/>
          <w:szCs w:val="28"/>
        </w:rPr>
        <w:t>(dezembro</w:t>
      </w:r>
      <w:r w:rsidRPr="00BF7545">
        <w:rPr>
          <w:rFonts w:ascii="Cambria" w:hAnsi="Cambria"/>
          <w:sz w:val="28"/>
          <w:szCs w:val="28"/>
        </w:rPr>
        <w:t xml:space="preserve"> 201</w:t>
      </w:r>
      <w:r>
        <w:rPr>
          <w:rFonts w:ascii="Cambria" w:hAnsi="Cambria"/>
          <w:sz w:val="28"/>
          <w:szCs w:val="28"/>
        </w:rPr>
        <w:t>1)</w:t>
      </w:r>
    </w:p>
    <w:p w:rsidR="00343F4F" w:rsidRPr="00343F4F" w:rsidRDefault="00343F4F" w:rsidP="00BF7545">
      <w:pPr>
        <w:pStyle w:val="SemEspaamento"/>
        <w:jc w:val="center"/>
        <w:rPr>
          <w:rFonts w:ascii="Cambria" w:hAnsi="Cambria"/>
          <w:sz w:val="44"/>
          <w:szCs w:val="44"/>
        </w:rPr>
      </w:pPr>
    </w:p>
    <w:p w:rsidR="00BF7545" w:rsidRDefault="00BF7545" w:rsidP="00BF7545">
      <w:pPr>
        <w:pStyle w:val="SemEspaamento"/>
        <w:rPr>
          <w:rFonts w:ascii="Cambria" w:hAnsi="Cambria"/>
          <w:sz w:val="36"/>
          <w:szCs w:val="36"/>
        </w:rPr>
      </w:pPr>
    </w:p>
    <w:p w:rsidR="00BF7545" w:rsidRDefault="00BF7545" w:rsidP="00BF7545">
      <w:pPr>
        <w:pStyle w:val="SemEspaamento"/>
        <w:rPr>
          <w:rFonts w:ascii="Cambria" w:hAnsi="Cambria"/>
          <w:sz w:val="36"/>
          <w:szCs w:val="36"/>
        </w:rPr>
      </w:pPr>
    </w:p>
    <w:p w:rsidR="00544DC4" w:rsidRPr="00544DC4" w:rsidRDefault="00544DC4" w:rsidP="00544DC4">
      <w:pPr>
        <w:pStyle w:val="Corpodetexto"/>
        <w:jc w:val="left"/>
        <w:rPr>
          <w:rFonts w:ascii="Arial" w:hAnsi="Arial" w:cs="Arial"/>
          <w:sz w:val="20"/>
          <w:szCs w:val="20"/>
        </w:rPr>
      </w:pPr>
      <w:r w:rsidRPr="00615F42">
        <w:rPr>
          <w:sz w:val="20"/>
          <w:szCs w:val="20"/>
        </w:rPr>
        <w:lastRenderedPageBreak/>
        <w:t xml:space="preserve">                                            </w:t>
      </w:r>
    </w:p>
    <w:p w:rsidR="00544DC4" w:rsidRPr="00544DC4" w:rsidRDefault="00544DC4" w:rsidP="00544DC4">
      <w:pPr>
        <w:pStyle w:val="Corpodetexto"/>
        <w:shd w:val="clear" w:color="auto" w:fill="C0C0C0"/>
        <w:jc w:val="center"/>
        <w:rPr>
          <w:rFonts w:ascii="Arial" w:hAnsi="Arial" w:cs="Arial"/>
          <w:b/>
          <w:sz w:val="20"/>
          <w:szCs w:val="20"/>
        </w:rPr>
      </w:pPr>
      <w:r w:rsidRPr="00544DC4">
        <w:rPr>
          <w:rFonts w:ascii="Arial" w:hAnsi="Arial" w:cs="Arial"/>
          <w:b/>
          <w:sz w:val="20"/>
          <w:szCs w:val="20"/>
        </w:rPr>
        <w:t>COMITE DA BACIA HIDROGRÁFICA DOS RIOS SPUCAI MIRIM/GRANDE</w:t>
      </w:r>
    </w:p>
    <w:p w:rsidR="00544DC4" w:rsidRPr="00544DC4" w:rsidRDefault="00544DC4" w:rsidP="00544DC4">
      <w:pPr>
        <w:pStyle w:val="Default"/>
        <w:jc w:val="center"/>
        <w:rPr>
          <w:b/>
          <w:bCs/>
          <w:sz w:val="20"/>
          <w:szCs w:val="20"/>
        </w:rPr>
      </w:pPr>
    </w:p>
    <w:p w:rsidR="00544DC4" w:rsidRPr="00544DC4" w:rsidRDefault="00544DC4" w:rsidP="00544DC4">
      <w:pPr>
        <w:pStyle w:val="Corpodetexto"/>
        <w:jc w:val="center"/>
        <w:rPr>
          <w:rFonts w:ascii="Arial" w:hAnsi="Arial" w:cs="Arial"/>
          <w:sz w:val="20"/>
          <w:szCs w:val="20"/>
        </w:rPr>
      </w:pPr>
      <w:r w:rsidRPr="00544DC4">
        <w:rPr>
          <w:rFonts w:ascii="Arial" w:hAnsi="Arial" w:cs="Arial"/>
          <w:sz w:val="20"/>
          <w:szCs w:val="20"/>
        </w:rPr>
        <w:t>PRESIDENTE</w:t>
      </w:r>
    </w:p>
    <w:p w:rsidR="00544DC4" w:rsidRPr="00544DC4" w:rsidRDefault="00544DC4" w:rsidP="00544DC4">
      <w:pPr>
        <w:pStyle w:val="Default"/>
        <w:spacing w:line="240" w:lineRule="auto"/>
        <w:jc w:val="center"/>
        <w:rPr>
          <w:b/>
          <w:bCs/>
          <w:sz w:val="20"/>
          <w:szCs w:val="20"/>
        </w:rPr>
      </w:pPr>
      <w:r>
        <w:rPr>
          <w:b/>
          <w:bCs/>
          <w:sz w:val="20"/>
          <w:szCs w:val="20"/>
        </w:rPr>
        <w:t>Marcos Henrique Alves</w:t>
      </w:r>
    </w:p>
    <w:p w:rsidR="00544DC4" w:rsidRPr="00544DC4" w:rsidRDefault="00544DC4" w:rsidP="00544DC4">
      <w:pPr>
        <w:pStyle w:val="Default"/>
        <w:spacing w:line="240" w:lineRule="auto"/>
        <w:jc w:val="center"/>
        <w:rPr>
          <w:sz w:val="20"/>
          <w:szCs w:val="20"/>
        </w:rPr>
      </w:pPr>
      <w:r w:rsidRPr="00544DC4">
        <w:rPr>
          <w:sz w:val="20"/>
          <w:szCs w:val="20"/>
        </w:rPr>
        <w:t xml:space="preserve">Prefeito Municipal de </w:t>
      </w:r>
      <w:r>
        <w:rPr>
          <w:sz w:val="20"/>
          <w:szCs w:val="20"/>
        </w:rPr>
        <w:t>Itirapuã</w:t>
      </w: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Cs/>
          <w:sz w:val="20"/>
          <w:szCs w:val="20"/>
        </w:rPr>
      </w:pPr>
      <w:r w:rsidRPr="00544DC4">
        <w:rPr>
          <w:sz w:val="20"/>
          <w:szCs w:val="20"/>
        </w:rPr>
        <w:t>VICE PRESIDENTE</w:t>
      </w:r>
    </w:p>
    <w:p w:rsidR="00544DC4" w:rsidRPr="00544DC4" w:rsidRDefault="00544DC4" w:rsidP="00544DC4">
      <w:pPr>
        <w:pStyle w:val="Default"/>
        <w:spacing w:line="240" w:lineRule="auto"/>
        <w:jc w:val="center"/>
        <w:rPr>
          <w:b/>
          <w:bCs/>
          <w:sz w:val="20"/>
          <w:szCs w:val="20"/>
        </w:rPr>
      </w:pPr>
      <w:r>
        <w:rPr>
          <w:b/>
          <w:bCs/>
          <w:sz w:val="20"/>
          <w:szCs w:val="20"/>
        </w:rPr>
        <w:t>Adriano Melo</w:t>
      </w:r>
    </w:p>
    <w:p w:rsidR="00544DC4" w:rsidRPr="00544DC4" w:rsidRDefault="00544DC4" w:rsidP="00544DC4">
      <w:pPr>
        <w:pStyle w:val="Default"/>
        <w:spacing w:line="240" w:lineRule="auto"/>
        <w:jc w:val="center"/>
        <w:rPr>
          <w:sz w:val="20"/>
          <w:szCs w:val="20"/>
        </w:rPr>
      </w:pPr>
      <w:r>
        <w:rPr>
          <w:bCs/>
          <w:sz w:val="20"/>
          <w:szCs w:val="20"/>
        </w:rPr>
        <w:t>Centro das Indústrias do Estado de São Paulo - Ciesp</w:t>
      </w: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Cs/>
          <w:sz w:val="20"/>
          <w:szCs w:val="20"/>
        </w:rPr>
      </w:pPr>
      <w:r w:rsidRPr="00544DC4">
        <w:rPr>
          <w:bCs/>
          <w:sz w:val="20"/>
          <w:szCs w:val="20"/>
        </w:rPr>
        <w:t>SECRETÁRIA EXECUTIVA</w:t>
      </w:r>
    </w:p>
    <w:p w:rsidR="00544DC4" w:rsidRPr="00544DC4" w:rsidRDefault="00544DC4" w:rsidP="00544DC4">
      <w:pPr>
        <w:pStyle w:val="Default"/>
        <w:spacing w:line="240" w:lineRule="auto"/>
        <w:jc w:val="center"/>
        <w:rPr>
          <w:b/>
          <w:bCs/>
          <w:sz w:val="20"/>
          <w:szCs w:val="20"/>
        </w:rPr>
      </w:pPr>
      <w:r w:rsidRPr="00544DC4">
        <w:rPr>
          <w:b/>
          <w:bCs/>
          <w:sz w:val="20"/>
          <w:szCs w:val="20"/>
        </w:rPr>
        <w:t>Irene Sabatino Pereira Niccioli</w:t>
      </w:r>
    </w:p>
    <w:p w:rsidR="00544DC4" w:rsidRPr="00544DC4" w:rsidRDefault="00544DC4" w:rsidP="00544DC4">
      <w:pPr>
        <w:pStyle w:val="Default"/>
        <w:spacing w:line="240" w:lineRule="auto"/>
        <w:jc w:val="center"/>
        <w:rPr>
          <w:sz w:val="20"/>
          <w:szCs w:val="20"/>
        </w:rPr>
      </w:pPr>
      <w:r w:rsidRPr="00544DC4">
        <w:rPr>
          <w:sz w:val="20"/>
          <w:szCs w:val="20"/>
        </w:rPr>
        <w:t>Departamento de Águas e Energia Elétrica - DAEE</w:t>
      </w: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
          <w:bCs/>
          <w:sz w:val="20"/>
          <w:szCs w:val="20"/>
        </w:rPr>
      </w:pPr>
    </w:p>
    <w:p w:rsidR="00544DC4" w:rsidRPr="00544DC4" w:rsidRDefault="00544DC4" w:rsidP="00544DC4">
      <w:pPr>
        <w:pStyle w:val="Default"/>
        <w:spacing w:line="240" w:lineRule="auto"/>
        <w:jc w:val="center"/>
        <w:rPr>
          <w:bCs/>
          <w:sz w:val="20"/>
          <w:szCs w:val="20"/>
        </w:rPr>
      </w:pPr>
      <w:r w:rsidRPr="00544DC4">
        <w:rPr>
          <w:bCs/>
          <w:sz w:val="20"/>
          <w:szCs w:val="20"/>
        </w:rPr>
        <w:t>SECRETARIO EXECUTIVO ADJUNTO</w:t>
      </w:r>
    </w:p>
    <w:p w:rsidR="00544DC4" w:rsidRPr="00544DC4" w:rsidRDefault="00544DC4" w:rsidP="00544DC4">
      <w:pPr>
        <w:pStyle w:val="Default"/>
        <w:spacing w:line="240" w:lineRule="auto"/>
        <w:jc w:val="center"/>
        <w:rPr>
          <w:b/>
          <w:bCs/>
          <w:sz w:val="20"/>
          <w:szCs w:val="20"/>
        </w:rPr>
      </w:pPr>
      <w:r w:rsidRPr="00544DC4">
        <w:rPr>
          <w:b/>
          <w:bCs/>
          <w:sz w:val="20"/>
          <w:szCs w:val="20"/>
        </w:rPr>
        <w:t>Reginaldo Antonio Branquinho Coelho</w:t>
      </w:r>
    </w:p>
    <w:p w:rsidR="00544DC4" w:rsidRPr="00544DC4" w:rsidRDefault="00544DC4" w:rsidP="00544DC4">
      <w:pPr>
        <w:pStyle w:val="Default"/>
        <w:spacing w:line="240" w:lineRule="auto"/>
        <w:jc w:val="center"/>
        <w:rPr>
          <w:sz w:val="20"/>
          <w:szCs w:val="20"/>
        </w:rPr>
      </w:pPr>
      <w:r w:rsidRPr="00544DC4">
        <w:rPr>
          <w:sz w:val="20"/>
          <w:szCs w:val="20"/>
        </w:rPr>
        <w:t>Departamento de Águas e Energia Elétrica - DAEE</w:t>
      </w:r>
    </w:p>
    <w:p w:rsidR="00544DC4" w:rsidRPr="00544DC4" w:rsidRDefault="00544DC4" w:rsidP="00544DC4">
      <w:pPr>
        <w:pStyle w:val="SemEspaamento"/>
        <w:spacing w:line="240" w:lineRule="auto"/>
        <w:jc w:val="center"/>
        <w:rPr>
          <w:rFonts w:ascii="Arial" w:hAnsi="Arial" w:cs="Arial"/>
          <w:sz w:val="36"/>
          <w:szCs w:val="36"/>
        </w:rPr>
      </w:pPr>
    </w:p>
    <w:p w:rsidR="00544DC4" w:rsidRPr="00544DC4" w:rsidRDefault="00544DC4" w:rsidP="00544DC4">
      <w:pPr>
        <w:pStyle w:val="SemEspaamento"/>
        <w:spacing w:line="240" w:lineRule="auto"/>
        <w:rPr>
          <w:rFonts w:ascii="Arial" w:hAnsi="Arial" w:cs="Arial"/>
          <w:sz w:val="36"/>
          <w:szCs w:val="36"/>
        </w:rPr>
      </w:pPr>
    </w:p>
    <w:tbl>
      <w:tblPr>
        <w:tblW w:w="0" w:type="auto"/>
        <w:jc w:val="center"/>
        <w:tblBorders>
          <w:insideH w:val="single" w:sz="4" w:space="0" w:color="000000"/>
          <w:insideV w:val="single" w:sz="4" w:space="0" w:color="000000"/>
        </w:tblBorders>
        <w:shd w:val="clear" w:color="auto" w:fill="BFBFBF"/>
        <w:tblLook w:val="04A0"/>
      </w:tblPr>
      <w:tblGrid>
        <w:gridCol w:w="9430"/>
      </w:tblGrid>
      <w:tr w:rsidR="00343F4F" w:rsidRPr="00343F4F" w:rsidTr="00343F4F">
        <w:trPr>
          <w:trHeight w:val="323"/>
          <w:jc w:val="center"/>
        </w:trPr>
        <w:tc>
          <w:tcPr>
            <w:tcW w:w="9430" w:type="dxa"/>
            <w:shd w:val="clear" w:color="auto" w:fill="BFBFBF"/>
            <w:vAlign w:val="center"/>
          </w:tcPr>
          <w:p w:rsidR="00343F4F" w:rsidRPr="00343F4F" w:rsidRDefault="00343F4F" w:rsidP="00343F4F">
            <w:pPr>
              <w:pStyle w:val="Corpodetexto"/>
              <w:jc w:val="center"/>
              <w:rPr>
                <w:rFonts w:ascii="Arial" w:hAnsi="Arial" w:cs="Arial"/>
                <w:b/>
                <w:sz w:val="20"/>
                <w:szCs w:val="20"/>
              </w:rPr>
            </w:pPr>
            <w:r w:rsidRPr="00343F4F">
              <w:rPr>
                <w:rFonts w:ascii="Arial" w:hAnsi="Arial" w:cs="Arial"/>
                <w:b/>
                <w:sz w:val="20"/>
                <w:szCs w:val="20"/>
              </w:rPr>
              <w:t>EXECUÇÃO</w:t>
            </w:r>
          </w:p>
        </w:tc>
      </w:tr>
    </w:tbl>
    <w:p w:rsidR="00343F4F" w:rsidRPr="00343F4F" w:rsidRDefault="00343F4F" w:rsidP="00343F4F">
      <w:pPr>
        <w:jc w:val="center"/>
        <w:outlineLvl w:val="0"/>
        <w:rPr>
          <w:rFonts w:ascii="Arial" w:hAnsi="Arial" w:cs="Arial"/>
          <w:bCs/>
          <w:sz w:val="20"/>
          <w:szCs w:val="20"/>
        </w:rPr>
      </w:pPr>
    </w:p>
    <w:p w:rsidR="005444BE" w:rsidRDefault="005444BE" w:rsidP="005444BE">
      <w:pPr>
        <w:tabs>
          <w:tab w:val="left" w:pos="720"/>
        </w:tabs>
        <w:autoSpaceDE w:val="0"/>
        <w:autoSpaceDN w:val="0"/>
        <w:adjustRightInd w:val="0"/>
        <w:spacing w:before="1" w:after="95"/>
        <w:ind w:left="72" w:right="18"/>
        <w:jc w:val="center"/>
        <w:rPr>
          <w:rFonts w:ascii="Arial" w:hAnsi="Arial" w:cs="Arial"/>
          <w:b/>
          <w:bCs/>
          <w:sz w:val="20"/>
          <w:szCs w:val="20"/>
        </w:rPr>
      </w:pPr>
      <w:r w:rsidRPr="005444BE">
        <w:rPr>
          <w:rFonts w:ascii="Arial" w:hAnsi="Arial" w:cs="Arial"/>
          <w:b/>
          <w:bCs/>
          <w:sz w:val="20"/>
          <w:szCs w:val="20"/>
        </w:rPr>
        <w:t>Grupo de Trabalho para Elaboração do Relatório Anual de Situação dos Recursos Hídricos do Comitê da Bacia Hidrográfica dos rios Sapucaí Mirim/Grande</w:t>
      </w:r>
    </w:p>
    <w:p w:rsidR="00343F4F" w:rsidRPr="00343F4F" w:rsidRDefault="00343F4F" w:rsidP="00544DC4">
      <w:pPr>
        <w:jc w:val="center"/>
        <w:outlineLvl w:val="0"/>
        <w:rPr>
          <w:rFonts w:ascii="Arial" w:hAnsi="Arial" w:cs="Arial"/>
          <w:b/>
          <w:bCs/>
          <w:sz w:val="20"/>
          <w:szCs w:val="20"/>
          <w:highlight w:val="yellow"/>
        </w:rPr>
      </w:pPr>
    </w:p>
    <w:p w:rsidR="00343F4F" w:rsidRDefault="00343F4F" w:rsidP="00544DC4">
      <w:pPr>
        <w:jc w:val="center"/>
        <w:outlineLvl w:val="0"/>
        <w:rPr>
          <w:rFonts w:ascii="Arial" w:hAnsi="Arial" w:cs="Arial"/>
          <w:b/>
          <w:bCs/>
          <w:sz w:val="20"/>
          <w:szCs w:val="20"/>
        </w:rPr>
      </w:pPr>
      <w:r>
        <w:rPr>
          <w:rFonts w:ascii="Arial" w:hAnsi="Arial" w:cs="Arial"/>
          <w:b/>
          <w:bCs/>
          <w:sz w:val="20"/>
          <w:szCs w:val="20"/>
        </w:rPr>
        <w:t>Irene Sabatino P Niccioli</w:t>
      </w:r>
    </w:p>
    <w:p w:rsidR="00343F4F" w:rsidRPr="005444BE" w:rsidRDefault="00343F4F" w:rsidP="00544DC4">
      <w:pPr>
        <w:jc w:val="center"/>
        <w:outlineLvl w:val="0"/>
        <w:rPr>
          <w:rFonts w:ascii="Arial" w:hAnsi="Arial" w:cs="Arial"/>
          <w:sz w:val="20"/>
          <w:szCs w:val="20"/>
        </w:rPr>
      </w:pPr>
      <w:r w:rsidRPr="005444BE">
        <w:rPr>
          <w:rFonts w:ascii="Arial" w:hAnsi="Arial" w:cs="Arial"/>
          <w:bCs/>
          <w:sz w:val="20"/>
          <w:szCs w:val="20"/>
        </w:rPr>
        <w:t xml:space="preserve">Secretária Executiva </w:t>
      </w:r>
      <w:r w:rsidR="005444BE">
        <w:rPr>
          <w:rFonts w:ascii="Arial" w:hAnsi="Arial" w:cs="Arial"/>
          <w:bCs/>
          <w:sz w:val="20"/>
          <w:szCs w:val="20"/>
        </w:rPr>
        <w:t>do CBH-SMG</w:t>
      </w:r>
    </w:p>
    <w:p w:rsidR="005444BE" w:rsidRDefault="005444BE" w:rsidP="00544DC4">
      <w:pPr>
        <w:jc w:val="center"/>
        <w:outlineLvl w:val="0"/>
        <w:rPr>
          <w:rFonts w:ascii="Arial" w:hAnsi="Arial" w:cs="Arial"/>
          <w:b/>
          <w:bCs/>
          <w:sz w:val="20"/>
          <w:szCs w:val="20"/>
        </w:rPr>
      </w:pPr>
    </w:p>
    <w:p w:rsidR="00343F4F" w:rsidRPr="005444BE" w:rsidRDefault="005444BE" w:rsidP="00544DC4">
      <w:pPr>
        <w:jc w:val="center"/>
        <w:outlineLvl w:val="0"/>
        <w:rPr>
          <w:rFonts w:ascii="Arial" w:hAnsi="Arial" w:cs="Arial"/>
          <w:bCs/>
          <w:sz w:val="20"/>
          <w:szCs w:val="20"/>
        </w:rPr>
      </w:pPr>
      <w:r>
        <w:rPr>
          <w:rFonts w:ascii="Arial" w:hAnsi="Arial" w:cs="Arial"/>
          <w:b/>
          <w:bCs/>
          <w:sz w:val="20"/>
          <w:szCs w:val="20"/>
        </w:rPr>
        <w:t xml:space="preserve">Viviane </w:t>
      </w:r>
      <w:r w:rsidR="0079606C">
        <w:rPr>
          <w:rFonts w:ascii="Arial" w:hAnsi="Arial" w:cs="Arial"/>
          <w:b/>
          <w:bCs/>
          <w:sz w:val="20"/>
          <w:szCs w:val="20"/>
        </w:rPr>
        <w:t>de Sou</w:t>
      </w:r>
      <w:r w:rsidR="00C30914">
        <w:rPr>
          <w:rFonts w:ascii="Arial" w:hAnsi="Arial" w:cs="Arial"/>
          <w:b/>
          <w:bCs/>
          <w:sz w:val="20"/>
          <w:szCs w:val="20"/>
        </w:rPr>
        <w:t>s</w:t>
      </w:r>
      <w:r w:rsidR="0079606C">
        <w:rPr>
          <w:rFonts w:ascii="Arial" w:hAnsi="Arial" w:cs="Arial"/>
          <w:b/>
          <w:bCs/>
          <w:sz w:val="20"/>
          <w:szCs w:val="20"/>
        </w:rPr>
        <w:t xml:space="preserve">a </w:t>
      </w:r>
      <w:r>
        <w:rPr>
          <w:rFonts w:ascii="Arial" w:hAnsi="Arial" w:cs="Arial"/>
          <w:b/>
          <w:bCs/>
          <w:sz w:val="20"/>
          <w:szCs w:val="20"/>
        </w:rPr>
        <w:t>Peres Cintra</w:t>
      </w:r>
    </w:p>
    <w:p w:rsidR="005444BE" w:rsidRPr="005444BE" w:rsidRDefault="005444BE" w:rsidP="00544DC4">
      <w:pPr>
        <w:jc w:val="center"/>
        <w:outlineLvl w:val="0"/>
        <w:rPr>
          <w:rFonts w:ascii="Arial" w:hAnsi="Arial" w:cs="Arial"/>
          <w:bCs/>
          <w:sz w:val="20"/>
          <w:szCs w:val="20"/>
        </w:rPr>
      </w:pPr>
      <w:r w:rsidRPr="005444BE">
        <w:rPr>
          <w:rFonts w:ascii="Arial" w:hAnsi="Arial" w:cs="Arial"/>
          <w:bCs/>
          <w:sz w:val="20"/>
          <w:szCs w:val="20"/>
        </w:rPr>
        <w:t>DAEE</w:t>
      </w:r>
    </w:p>
    <w:p w:rsidR="005444BE" w:rsidRDefault="005444BE" w:rsidP="00544DC4">
      <w:pPr>
        <w:jc w:val="center"/>
        <w:outlineLvl w:val="0"/>
        <w:rPr>
          <w:rFonts w:ascii="Arial" w:hAnsi="Arial" w:cs="Arial"/>
          <w:b/>
          <w:bCs/>
          <w:sz w:val="20"/>
          <w:szCs w:val="20"/>
        </w:rPr>
      </w:pPr>
    </w:p>
    <w:p w:rsidR="005444BE" w:rsidRDefault="005444BE" w:rsidP="00544DC4">
      <w:pPr>
        <w:jc w:val="center"/>
        <w:outlineLvl w:val="0"/>
        <w:rPr>
          <w:rFonts w:ascii="Arial" w:hAnsi="Arial" w:cs="Arial"/>
          <w:b/>
          <w:bCs/>
          <w:sz w:val="20"/>
          <w:szCs w:val="20"/>
        </w:rPr>
      </w:pPr>
      <w:r>
        <w:rPr>
          <w:rFonts w:ascii="Arial" w:hAnsi="Arial" w:cs="Arial"/>
          <w:b/>
          <w:bCs/>
          <w:sz w:val="20"/>
          <w:szCs w:val="20"/>
        </w:rPr>
        <w:t>Adriano Mello</w:t>
      </w:r>
    </w:p>
    <w:p w:rsidR="005444BE" w:rsidRPr="0079606C" w:rsidRDefault="005444BE" w:rsidP="00544DC4">
      <w:pPr>
        <w:jc w:val="center"/>
        <w:outlineLvl w:val="0"/>
        <w:rPr>
          <w:rFonts w:ascii="Arial" w:hAnsi="Arial" w:cs="Arial"/>
          <w:bCs/>
          <w:sz w:val="20"/>
          <w:szCs w:val="20"/>
        </w:rPr>
      </w:pPr>
      <w:r w:rsidRPr="0079606C">
        <w:rPr>
          <w:rFonts w:ascii="Arial" w:hAnsi="Arial" w:cs="Arial"/>
          <w:bCs/>
          <w:sz w:val="20"/>
          <w:szCs w:val="20"/>
        </w:rPr>
        <w:t xml:space="preserve">Vice Presidente </w:t>
      </w:r>
      <w:r w:rsidR="0079606C" w:rsidRPr="0079606C">
        <w:rPr>
          <w:rFonts w:ascii="Arial" w:hAnsi="Arial" w:cs="Arial"/>
          <w:bCs/>
          <w:sz w:val="20"/>
          <w:szCs w:val="20"/>
        </w:rPr>
        <w:t>d</w:t>
      </w:r>
      <w:r w:rsidRPr="0079606C">
        <w:rPr>
          <w:rFonts w:ascii="Arial" w:hAnsi="Arial" w:cs="Arial"/>
          <w:bCs/>
          <w:sz w:val="20"/>
          <w:szCs w:val="20"/>
        </w:rPr>
        <w:t>o CBH-SMG</w:t>
      </w:r>
    </w:p>
    <w:p w:rsidR="005444BE" w:rsidRPr="0079606C" w:rsidRDefault="0079606C" w:rsidP="00544DC4">
      <w:pPr>
        <w:jc w:val="center"/>
        <w:outlineLvl w:val="0"/>
        <w:rPr>
          <w:rFonts w:ascii="Arial" w:hAnsi="Arial" w:cs="Arial"/>
          <w:bCs/>
          <w:sz w:val="20"/>
          <w:szCs w:val="20"/>
        </w:rPr>
      </w:pPr>
      <w:r>
        <w:rPr>
          <w:rFonts w:ascii="Arial" w:hAnsi="Arial" w:cs="Arial"/>
          <w:bCs/>
          <w:sz w:val="20"/>
          <w:szCs w:val="20"/>
        </w:rPr>
        <w:t>Ciesp</w:t>
      </w:r>
    </w:p>
    <w:p w:rsidR="005444BE" w:rsidRDefault="005444BE" w:rsidP="00544DC4">
      <w:pPr>
        <w:jc w:val="center"/>
        <w:outlineLvl w:val="0"/>
        <w:rPr>
          <w:rFonts w:ascii="Arial" w:hAnsi="Arial" w:cs="Arial"/>
          <w:b/>
          <w:bCs/>
          <w:sz w:val="20"/>
          <w:szCs w:val="20"/>
        </w:rPr>
      </w:pPr>
    </w:p>
    <w:p w:rsidR="005444BE" w:rsidRDefault="005444BE" w:rsidP="00544DC4">
      <w:pPr>
        <w:jc w:val="center"/>
        <w:outlineLvl w:val="0"/>
        <w:rPr>
          <w:rFonts w:ascii="Arial" w:hAnsi="Arial" w:cs="Arial"/>
          <w:b/>
          <w:bCs/>
          <w:sz w:val="20"/>
          <w:szCs w:val="20"/>
        </w:rPr>
      </w:pPr>
      <w:r>
        <w:rPr>
          <w:rFonts w:ascii="Arial" w:hAnsi="Arial" w:cs="Arial"/>
          <w:b/>
          <w:bCs/>
          <w:sz w:val="20"/>
          <w:szCs w:val="20"/>
        </w:rPr>
        <w:t xml:space="preserve">Vera Lúcia </w:t>
      </w:r>
      <w:r w:rsidR="0079606C">
        <w:rPr>
          <w:rFonts w:ascii="Arial" w:hAnsi="Arial" w:cs="Arial"/>
          <w:b/>
          <w:bCs/>
          <w:sz w:val="20"/>
          <w:szCs w:val="20"/>
        </w:rPr>
        <w:t>Barillari</w:t>
      </w:r>
    </w:p>
    <w:p w:rsidR="005444BE" w:rsidRPr="0079606C" w:rsidRDefault="005444BE" w:rsidP="00544DC4">
      <w:pPr>
        <w:jc w:val="center"/>
        <w:outlineLvl w:val="0"/>
        <w:rPr>
          <w:rFonts w:ascii="Arial" w:hAnsi="Arial" w:cs="Arial"/>
          <w:bCs/>
          <w:sz w:val="20"/>
          <w:szCs w:val="20"/>
        </w:rPr>
      </w:pPr>
      <w:r w:rsidRPr="0079606C">
        <w:rPr>
          <w:rFonts w:ascii="Arial" w:hAnsi="Arial" w:cs="Arial"/>
          <w:bCs/>
          <w:sz w:val="20"/>
          <w:szCs w:val="20"/>
        </w:rPr>
        <w:t>Coordenadora das Câmaras Técnicas do CBH-SMG</w:t>
      </w:r>
    </w:p>
    <w:p w:rsidR="00343F4F" w:rsidRPr="0079606C" w:rsidRDefault="0079606C" w:rsidP="00544DC4">
      <w:pPr>
        <w:pStyle w:val="Corpodetexto"/>
        <w:jc w:val="center"/>
        <w:rPr>
          <w:rFonts w:ascii="Arial" w:hAnsi="Arial" w:cs="Arial"/>
          <w:sz w:val="20"/>
          <w:szCs w:val="20"/>
        </w:rPr>
      </w:pPr>
      <w:r w:rsidRPr="0079606C">
        <w:rPr>
          <w:rFonts w:ascii="Arial" w:hAnsi="Arial" w:cs="Arial"/>
          <w:bCs/>
          <w:sz w:val="20"/>
          <w:szCs w:val="20"/>
        </w:rPr>
        <w:t>Cetesb</w:t>
      </w:r>
    </w:p>
    <w:p w:rsidR="00544DC4" w:rsidRDefault="00544DC4" w:rsidP="00544DC4">
      <w:pPr>
        <w:pStyle w:val="Default"/>
        <w:spacing w:line="240" w:lineRule="auto"/>
        <w:jc w:val="center"/>
        <w:rPr>
          <w:b/>
          <w:bCs/>
          <w:sz w:val="20"/>
          <w:szCs w:val="20"/>
        </w:rPr>
      </w:pPr>
    </w:p>
    <w:p w:rsidR="0079606C" w:rsidRDefault="005444BE" w:rsidP="00544DC4">
      <w:pPr>
        <w:pStyle w:val="Default"/>
        <w:spacing w:line="240" w:lineRule="auto"/>
        <w:jc w:val="center"/>
        <w:rPr>
          <w:b/>
          <w:bCs/>
          <w:sz w:val="20"/>
          <w:szCs w:val="20"/>
        </w:rPr>
      </w:pPr>
      <w:r>
        <w:rPr>
          <w:b/>
          <w:bCs/>
          <w:sz w:val="20"/>
          <w:szCs w:val="20"/>
        </w:rPr>
        <w:t xml:space="preserve">Paulo </w:t>
      </w:r>
      <w:r w:rsidR="0079606C">
        <w:rPr>
          <w:b/>
          <w:bCs/>
          <w:sz w:val="20"/>
          <w:szCs w:val="20"/>
        </w:rPr>
        <w:t>P</w:t>
      </w:r>
      <w:r w:rsidR="0079606C" w:rsidRPr="0079606C">
        <w:rPr>
          <w:b/>
          <w:bCs/>
          <w:sz w:val="20"/>
          <w:szCs w:val="20"/>
        </w:rPr>
        <w:t>uccinelli</w:t>
      </w:r>
    </w:p>
    <w:p w:rsidR="0079606C" w:rsidRPr="0079606C" w:rsidRDefault="0079606C" w:rsidP="00544DC4">
      <w:pPr>
        <w:jc w:val="center"/>
        <w:outlineLvl w:val="0"/>
        <w:rPr>
          <w:rFonts w:ascii="Arial" w:hAnsi="Arial" w:cs="Arial"/>
          <w:bCs/>
          <w:sz w:val="20"/>
          <w:szCs w:val="20"/>
        </w:rPr>
      </w:pPr>
      <w:r w:rsidRPr="0079606C">
        <w:rPr>
          <w:rFonts w:ascii="Arial" w:hAnsi="Arial" w:cs="Arial"/>
          <w:bCs/>
          <w:sz w:val="20"/>
          <w:szCs w:val="20"/>
        </w:rPr>
        <w:t>AERF</w:t>
      </w:r>
    </w:p>
    <w:p w:rsidR="005444BE" w:rsidRPr="0079606C" w:rsidRDefault="005444BE" w:rsidP="00544DC4">
      <w:pPr>
        <w:pStyle w:val="Default"/>
        <w:spacing w:line="240" w:lineRule="auto"/>
        <w:jc w:val="center"/>
        <w:rPr>
          <w:bCs/>
          <w:color w:val="auto"/>
          <w:sz w:val="20"/>
          <w:szCs w:val="20"/>
        </w:rPr>
      </w:pPr>
    </w:p>
    <w:p w:rsidR="005444BE" w:rsidRDefault="005444BE" w:rsidP="00544DC4">
      <w:pPr>
        <w:pStyle w:val="Default"/>
        <w:spacing w:line="240" w:lineRule="auto"/>
        <w:jc w:val="center"/>
        <w:rPr>
          <w:b/>
          <w:bCs/>
          <w:sz w:val="20"/>
          <w:szCs w:val="20"/>
        </w:rPr>
      </w:pPr>
      <w:r>
        <w:rPr>
          <w:b/>
          <w:bCs/>
          <w:sz w:val="20"/>
          <w:szCs w:val="20"/>
        </w:rPr>
        <w:t>Edson Castro Couto Rosa</w:t>
      </w:r>
    </w:p>
    <w:p w:rsidR="00544DC4" w:rsidRPr="00544DC4" w:rsidRDefault="00544DC4" w:rsidP="00544DC4">
      <w:pPr>
        <w:pStyle w:val="Default"/>
        <w:spacing w:line="240" w:lineRule="auto"/>
        <w:jc w:val="center"/>
        <w:rPr>
          <w:bCs/>
          <w:sz w:val="20"/>
          <w:szCs w:val="20"/>
        </w:rPr>
      </w:pPr>
      <w:r w:rsidRPr="00544DC4">
        <w:rPr>
          <w:bCs/>
          <w:sz w:val="20"/>
          <w:szCs w:val="20"/>
        </w:rPr>
        <w:t>Sindicato Rural de Franca</w:t>
      </w:r>
    </w:p>
    <w:p w:rsidR="005444BE" w:rsidRDefault="005444BE" w:rsidP="00544DC4">
      <w:pPr>
        <w:pStyle w:val="Default"/>
        <w:spacing w:line="240" w:lineRule="auto"/>
        <w:jc w:val="center"/>
        <w:rPr>
          <w:b/>
          <w:bCs/>
          <w:sz w:val="20"/>
          <w:szCs w:val="20"/>
        </w:rPr>
      </w:pPr>
    </w:p>
    <w:p w:rsidR="005444BE" w:rsidRDefault="005444BE" w:rsidP="00544DC4">
      <w:pPr>
        <w:pStyle w:val="Default"/>
        <w:spacing w:line="240" w:lineRule="auto"/>
        <w:jc w:val="center"/>
        <w:rPr>
          <w:b/>
          <w:bCs/>
          <w:sz w:val="20"/>
          <w:szCs w:val="20"/>
        </w:rPr>
      </w:pPr>
      <w:r>
        <w:rPr>
          <w:b/>
          <w:bCs/>
          <w:sz w:val="20"/>
          <w:szCs w:val="20"/>
        </w:rPr>
        <w:t xml:space="preserve">Monica </w:t>
      </w:r>
      <w:r w:rsidR="0079606C">
        <w:rPr>
          <w:b/>
          <w:bCs/>
          <w:sz w:val="20"/>
          <w:szCs w:val="20"/>
        </w:rPr>
        <w:t>B. Cardoso de Freitas</w:t>
      </w:r>
    </w:p>
    <w:p w:rsidR="005444BE" w:rsidRPr="00544DC4" w:rsidRDefault="00544DC4" w:rsidP="00544DC4">
      <w:pPr>
        <w:pStyle w:val="Default"/>
        <w:spacing w:line="240" w:lineRule="auto"/>
        <w:jc w:val="center"/>
        <w:rPr>
          <w:bCs/>
          <w:sz w:val="20"/>
          <w:szCs w:val="20"/>
        </w:rPr>
      </w:pPr>
      <w:r>
        <w:rPr>
          <w:bCs/>
          <w:sz w:val="20"/>
          <w:szCs w:val="20"/>
        </w:rPr>
        <w:t>SABESP</w:t>
      </w:r>
    </w:p>
    <w:p w:rsidR="00544DC4" w:rsidRDefault="00544DC4" w:rsidP="00544DC4">
      <w:pPr>
        <w:pStyle w:val="Default"/>
        <w:spacing w:line="240" w:lineRule="auto"/>
        <w:jc w:val="center"/>
        <w:rPr>
          <w:b/>
          <w:bCs/>
          <w:sz w:val="20"/>
          <w:szCs w:val="20"/>
        </w:rPr>
      </w:pPr>
    </w:p>
    <w:p w:rsidR="005444BE" w:rsidRDefault="005444BE" w:rsidP="00544DC4">
      <w:pPr>
        <w:pStyle w:val="Default"/>
        <w:spacing w:line="240" w:lineRule="auto"/>
        <w:jc w:val="center"/>
        <w:rPr>
          <w:b/>
          <w:bCs/>
          <w:sz w:val="20"/>
          <w:szCs w:val="20"/>
        </w:rPr>
      </w:pPr>
      <w:r>
        <w:rPr>
          <w:b/>
          <w:bCs/>
          <w:sz w:val="20"/>
          <w:szCs w:val="20"/>
        </w:rPr>
        <w:t>Regina</w:t>
      </w:r>
      <w:r w:rsidR="0079606C">
        <w:rPr>
          <w:b/>
          <w:bCs/>
          <w:sz w:val="20"/>
          <w:szCs w:val="20"/>
        </w:rPr>
        <w:t xml:space="preserve"> </w:t>
      </w:r>
      <w:r w:rsidR="00544DC4">
        <w:rPr>
          <w:b/>
          <w:bCs/>
          <w:sz w:val="20"/>
          <w:szCs w:val="20"/>
        </w:rPr>
        <w:t>S</w:t>
      </w:r>
      <w:r w:rsidR="0079606C" w:rsidRPr="00544DC4">
        <w:rPr>
          <w:b/>
          <w:bCs/>
          <w:sz w:val="20"/>
          <w:szCs w:val="20"/>
        </w:rPr>
        <w:t>pirlandeli</w:t>
      </w:r>
    </w:p>
    <w:p w:rsidR="0079606C" w:rsidRPr="00544DC4" w:rsidRDefault="0079606C" w:rsidP="00544DC4">
      <w:pPr>
        <w:pStyle w:val="Default"/>
        <w:spacing w:line="240" w:lineRule="auto"/>
        <w:jc w:val="center"/>
        <w:rPr>
          <w:bCs/>
          <w:sz w:val="20"/>
          <w:szCs w:val="20"/>
        </w:rPr>
      </w:pPr>
      <w:r w:rsidRPr="00544DC4">
        <w:rPr>
          <w:bCs/>
          <w:sz w:val="20"/>
          <w:szCs w:val="20"/>
        </w:rPr>
        <w:t>Prefeitura Municipal de Ituverava</w:t>
      </w:r>
    </w:p>
    <w:p w:rsidR="00544DC4" w:rsidRDefault="00544DC4" w:rsidP="00544DC4">
      <w:pPr>
        <w:pStyle w:val="SemEspaamento"/>
        <w:spacing w:line="240" w:lineRule="auto"/>
        <w:jc w:val="center"/>
        <w:rPr>
          <w:rFonts w:ascii="Comic Sans MS" w:eastAsiaTheme="minorHAnsi" w:hAnsi="Comic Sans MS" w:cs="Comic Sans MS"/>
          <w:color w:val="008080"/>
          <w:sz w:val="20"/>
          <w:szCs w:val="20"/>
          <w:u w:val="dottedHeavy" w:color="008000"/>
        </w:rPr>
      </w:pPr>
    </w:p>
    <w:p w:rsidR="00BF7545" w:rsidRDefault="00544DC4" w:rsidP="00544DC4">
      <w:pPr>
        <w:pStyle w:val="SemEspaamento"/>
        <w:spacing w:line="240" w:lineRule="auto"/>
        <w:jc w:val="center"/>
        <w:rPr>
          <w:rFonts w:ascii="Arial" w:hAnsi="Arial" w:cs="Arial"/>
          <w:b/>
          <w:bCs/>
          <w:color w:val="000000"/>
          <w:sz w:val="20"/>
          <w:szCs w:val="20"/>
          <w:lang w:eastAsia="pt-BR"/>
        </w:rPr>
      </w:pPr>
      <w:r>
        <w:rPr>
          <w:rFonts w:ascii="Arial" w:hAnsi="Arial" w:cs="Arial"/>
          <w:b/>
          <w:bCs/>
          <w:color w:val="000000"/>
          <w:sz w:val="20"/>
          <w:szCs w:val="20"/>
          <w:lang w:eastAsia="pt-BR"/>
        </w:rPr>
        <w:t>E</w:t>
      </w:r>
      <w:r w:rsidR="0079606C" w:rsidRPr="00544DC4">
        <w:rPr>
          <w:rFonts w:ascii="Arial" w:hAnsi="Arial" w:cs="Arial"/>
          <w:b/>
          <w:bCs/>
          <w:color w:val="000000"/>
          <w:sz w:val="20"/>
          <w:szCs w:val="20"/>
          <w:lang w:eastAsia="pt-BR"/>
        </w:rPr>
        <w:t xml:space="preserve">liana </w:t>
      </w:r>
      <w:r>
        <w:rPr>
          <w:rFonts w:ascii="Arial" w:hAnsi="Arial" w:cs="Arial"/>
          <w:b/>
          <w:bCs/>
          <w:color w:val="000000"/>
          <w:sz w:val="20"/>
          <w:szCs w:val="20"/>
          <w:lang w:eastAsia="pt-BR"/>
        </w:rPr>
        <w:t>J</w:t>
      </w:r>
      <w:r w:rsidR="0079606C" w:rsidRPr="00544DC4">
        <w:rPr>
          <w:rFonts w:ascii="Arial" w:hAnsi="Arial" w:cs="Arial"/>
          <w:b/>
          <w:bCs/>
          <w:color w:val="000000"/>
          <w:sz w:val="20"/>
          <w:szCs w:val="20"/>
          <w:lang w:eastAsia="pt-BR"/>
        </w:rPr>
        <w:t xml:space="preserve">. </w:t>
      </w:r>
      <w:r>
        <w:rPr>
          <w:rFonts w:ascii="Arial" w:hAnsi="Arial" w:cs="Arial"/>
          <w:b/>
          <w:bCs/>
          <w:color w:val="000000"/>
          <w:sz w:val="20"/>
          <w:szCs w:val="20"/>
          <w:lang w:eastAsia="pt-BR"/>
        </w:rPr>
        <w:t>L</w:t>
      </w:r>
      <w:r w:rsidR="0079606C" w:rsidRPr="00544DC4">
        <w:rPr>
          <w:rFonts w:ascii="Arial" w:hAnsi="Arial" w:cs="Arial"/>
          <w:b/>
          <w:bCs/>
          <w:color w:val="000000"/>
          <w:sz w:val="20"/>
          <w:szCs w:val="20"/>
          <w:lang w:eastAsia="pt-BR"/>
        </w:rPr>
        <w:t>ima</w:t>
      </w:r>
      <w:r>
        <w:rPr>
          <w:rFonts w:ascii="Arial" w:hAnsi="Arial" w:cs="Arial"/>
          <w:b/>
          <w:bCs/>
          <w:color w:val="000000"/>
          <w:sz w:val="20"/>
          <w:szCs w:val="20"/>
          <w:lang w:eastAsia="pt-BR"/>
        </w:rPr>
        <w:t xml:space="preserve"> G</w:t>
      </w:r>
      <w:r w:rsidR="0079606C" w:rsidRPr="00544DC4">
        <w:rPr>
          <w:rFonts w:ascii="Arial" w:hAnsi="Arial" w:cs="Arial"/>
          <w:b/>
          <w:bCs/>
          <w:color w:val="000000"/>
          <w:sz w:val="20"/>
          <w:szCs w:val="20"/>
          <w:lang w:eastAsia="pt-BR"/>
        </w:rPr>
        <w:t>iubert</w:t>
      </w:r>
    </w:p>
    <w:p w:rsidR="00544DC4" w:rsidRPr="00544DC4" w:rsidRDefault="00544DC4" w:rsidP="00544DC4">
      <w:pPr>
        <w:pStyle w:val="SemEspaamento"/>
        <w:spacing w:line="240" w:lineRule="auto"/>
        <w:jc w:val="center"/>
        <w:rPr>
          <w:rFonts w:ascii="Arial" w:hAnsi="Arial" w:cs="Arial"/>
          <w:bCs/>
          <w:color w:val="000000"/>
          <w:sz w:val="20"/>
          <w:szCs w:val="20"/>
          <w:lang w:eastAsia="pt-BR"/>
        </w:rPr>
      </w:pPr>
      <w:r>
        <w:rPr>
          <w:rFonts w:ascii="Arial" w:hAnsi="Arial" w:cs="Arial"/>
          <w:bCs/>
          <w:color w:val="000000"/>
          <w:sz w:val="20"/>
          <w:szCs w:val="20"/>
          <w:lang w:eastAsia="pt-BR"/>
        </w:rPr>
        <w:t>Prefeitura Municipal de Franca</w:t>
      </w:r>
    </w:p>
    <w:p w:rsidR="00947D4B" w:rsidRDefault="00947D4B" w:rsidP="00BF7545">
      <w:pPr>
        <w:pStyle w:val="Corpodetexto"/>
        <w:spacing w:line="360" w:lineRule="auto"/>
        <w:rPr>
          <w:rFonts w:ascii="Arial" w:hAnsi="Arial" w:cs="Arial"/>
          <w:b/>
          <w:bCs/>
          <w:sz w:val="20"/>
          <w:szCs w:val="20"/>
        </w:rPr>
      </w:pPr>
    </w:p>
    <w:p w:rsidR="00BF7545" w:rsidRPr="00160AEF" w:rsidRDefault="00BF7545" w:rsidP="00BF7545">
      <w:pPr>
        <w:pStyle w:val="Corpodetexto"/>
        <w:spacing w:line="360" w:lineRule="auto"/>
        <w:rPr>
          <w:rFonts w:ascii="Arial" w:hAnsi="Arial" w:cs="Arial"/>
          <w:b/>
          <w:bCs/>
          <w:sz w:val="20"/>
          <w:szCs w:val="20"/>
        </w:rPr>
      </w:pPr>
      <w:r w:rsidRPr="00160AEF">
        <w:rPr>
          <w:rFonts w:ascii="Arial" w:hAnsi="Arial" w:cs="Arial"/>
          <w:b/>
          <w:bCs/>
          <w:sz w:val="20"/>
          <w:szCs w:val="20"/>
        </w:rPr>
        <w:lastRenderedPageBreak/>
        <w:t>SUM</w:t>
      </w:r>
      <w:r w:rsidR="00ED18F2">
        <w:rPr>
          <w:rFonts w:ascii="Arial" w:hAnsi="Arial" w:cs="Arial"/>
          <w:b/>
          <w:bCs/>
          <w:sz w:val="20"/>
          <w:szCs w:val="20"/>
        </w:rPr>
        <w:t>Á</w:t>
      </w:r>
      <w:r w:rsidRPr="00160AEF">
        <w:rPr>
          <w:rFonts w:ascii="Arial" w:hAnsi="Arial" w:cs="Arial"/>
          <w:b/>
          <w:bCs/>
          <w:sz w:val="20"/>
          <w:szCs w:val="20"/>
        </w:rPr>
        <w:t>RIO</w:t>
      </w:r>
    </w:p>
    <w:p w:rsidR="00BF7545" w:rsidRDefault="00BF7545" w:rsidP="00DA1D50">
      <w:pPr>
        <w:pStyle w:val="Corpodetexto"/>
        <w:numPr>
          <w:ilvl w:val="0"/>
          <w:numId w:val="7"/>
        </w:numPr>
        <w:tabs>
          <w:tab w:val="clear" w:pos="720"/>
          <w:tab w:val="num" w:pos="0"/>
        </w:tabs>
        <w:spacing w:before="100" w:beforeAutospacing="1" w:afterLines="20" w:line="360" w:lineRule="auto"/>
        <w:ind w:left="680" w:hanging="720"/>
        <w:jc w:val="left"/>
        <w:rPr>
          <w:rFonts w:ascii="Arial" w:hAnsi="Arial" w:cs="Arial"/>
          <w:bCs/>
          <w:sz w:val="20"/>
          <w:szCs w:val="20"/>
        </w:rPr>
      </w:pPr>
      <w:r w:rsidRPr="00160AEF">
        <w:rPr>
          <w:rFonts w:ascii="Arial" w:hAnsi="Arial" w:cs="Arial"/>
          <w:bCs/>
          <w:sz w:val="20"/>
          <w:szCs w:val="20"/>
        </w:rPr>
        <w:t>INTRODUÇÃO............................................................................................................................</w:t>
      </w:r>
      <w:r>
        <w:rPr>
          <w:rFonts w:ascii="Arial" w:hAnsi="Arial" w:cs="Arial"/>
          <w:bCs/>
          <w:sz w:val="20"/>
          <w:szCs w:val="20"/>
        </w:rPr>
        <w:t>.0</w:t>
      </w:r>
      <w:r w:rsidR="00ED18F2">
        <w:rPr>
          <w:rFonts w:ascii="Arial" w:hAnsi="Arial" w:cs="Arial"/>
          <w:bCs/>
          <w:sz w:val="20"/>
          <w:szCs w:val="20"/>
        </w:rPr>
        <w:t>4</w:t>
      </w:r>
    </w:p>
    <w:p w:rsidR="00BF7545" w:rsidRDefault="00BF7545" w:rsidP="00DA1D50">
      <w:pPr>
        <w:pStyle w:val="Corpodetexto"/>
        <w:numPr>
          <w:ilvl w:val="0"/>
          <w:numId w:val="7"/>
        </w:numPr>
        <w:tabs>
          <w:tab w:val="clear" w:pos="720"/>
          <w:tab w:val="num" w:pos="-709"/>
        </w:tabs>
        <w:spacing w:beforeLines="20" w:afterLines="20" w:line="360" w:lineRule="auto"/>
        <w:ind w:hanging="720"/>
        <w:jc w:val="left"/>
        <w:rPr>
          <w:rFonts w:ascii="Arial" w:hAnsi="Arial" w:cs="Arial"/>
          <w:bCs/>
          <w:sz w:val="20"/>
          <w:szCs w:val="20"/>
        </w:rPr>
      </w:pPr>
      <w:r>
        <w:rPr>
          <w:rFonts w:ascii="Arial" w:hAnsi="Arial" w:cs="Arial"/>
          <w:bCs/>
          <w:sz w:val="20"/>
          <w:szCs w:val="20"/>
        </w:rPr>
        <w:t xml:space="preserve">CARACTERISTICAS GERAIS </w:t>
      </w:r>
      <w:r w:rsidRPr="00160AEF">
        <w:rPr>
          <w:rFonts w:ascii="Arial" w:hAnsi="Arial" w:cs="Arial"/>
          <w:bCs/>
          <w:sz w:val="20"/>
          <w:szCs w:val="20"/>
        </w:rPr>
        <w:t>DA UGRHI</w:t>
      </w:r>
      <w:r>
        <w:rPr>
          <w:rFonts w:ascii="Arial" w:hAnsi="Arial" w:cs="Arial"/>
          <w:bCs/>
          <w:sz w:val="20"/>
          <w:szCs w:val="20"/>
        </w:rPr>
        <w:t>- 08.</w:t>
      </w:r>
      <w:r w:rsidR="00947D4B">
        <w:rPr>
          <w:rFonts w:ascii="Arial" w:hAnsi="Arial" w:cs="Arial"/>
          <w:bCs/>
          <w:sz w:val="20"/>
          <w:szCs w:val="20"/>
        </w:rPr>
        <w:t>.</w:t>
      </w:r>
      <w:r w:rsidRPr="00160AEF">
        <w:rPr>
          <w:rFonts w:ascii="Arial" w:hAnsi="Arial" w:cs="Arial"/>
          <w:bCs/>
          <w:sz w:val="20"/>
          <w:szCs w:val="20"/>
        </w:rPr>
        <w:t>........................................................................</w:t>
      </w:r>
      <w:r>
        <w:rPr>
          <w:rFonts w:ascii="Arial" w:hAnsi="Arial" w:cs="Arial"/>
          <w:bCs/>
          <w:sz w:val="20"/>
          <w:szCs w:val="20"/>
        </w:rPr>
        <w:t>.0</w:t>
      </w:r>
      <w:r w:rsidR="00ED18F2">
        <w:rPr>
          <w:rFonts w:ascii="Arial" w:hAnsi="Arial" w:cs="Arial"/>
          <w:bCs/>
          <w:sz w:val="20"/>
          <w:szCs w:val="20"/>
        </w:rPr>
        <w:t>7</w:t>
      </w:r>
    </w:p>
    <w:p w:rsidR="00BF7545" w:rsidRDefault="00BF7545" w:rsidP="00DA1D50">
      <w:pPr>
        <w:pStyle w:val="Corpodetexto"/>
        <w:numPr>
          <w:ilvl w:val="0"/>
          <w:numId w:val="7"/>
        </w:numPr>
        <w:tabs>
          <w:tab w:val="clear" w:pos="720"/>
          <w:tab w:val="num" w:pos="-709"/>
        </w:tabs>
        <w:spacing w:beforeLines="20" w:afterLines="20" w:line="360" w:lineRule="auto"/>
        <w:ind w:hanging="720"/>
        <w:jc w:val="left"/>
        <w:rPr>
          <w:rFonts w:ascii="Arial" w:hAnsi="Arial" w:cs="Arial"/>
          <w:bCs/>
          <w:sz w:val="20"/>
          <w:szCs w:val="20"/>
        </w:rPr>
      </w:pPr>
      <w:r>
        <w:rPr>
          <w:rFonts w:ascii="Arial" w:hAnsi="Arial" w:cs="Arial"/>
          <w:bCs/>
          <w:sz w:val="20"/>
          <w:szCs w:val="20"/>
        </w:rPr>
        <w:t>ANÁLISE DOS INDICADORES...................................................................</w:t>
      </w:r>
      <w:r w:rsidR="00ED18F2">
        <w:rPr>
          <w:rFonts w:ascii="Arial" w:hAnsi="Arial" w:cs="Arial"/>
          <w:bCs/>
          <w:sz w:val="20"/>
          <w:szCs w:val="20"/>
        </w:rPr>
        <w:t>...............................10</w:t>
      </w:r>
    </w:p>
    <w:p w:rsidR="00E92D98" w:rsidRDefault="00E92D98" w:rsidP="00DA1D50">
      <w:pPr>
        <w:pStyle w:val="Corpodetexto"/>
        <w:spacing w:beforeLines="20" w:afterLines="20" w:line="360" w:lineRule="auto"/>
        <w:ind w:left="720"/>
        <w:jc w:val="left"/>
        <w:rPr>
          <w:rFonts w:ascii="Arial" w:hAnsi="Arial" w:cs="Arial"/>
          <w:bCs/>
          <w:sz w:val="20"/>
          <w:szCs w:val="20"/>
        </w:rPr>
      </w:pPr>
      <w:r>
        <w:rPr>
          <w:rFonts w:ascii="Arial" w:hAnsi="Arial" w:cs="Arial"/>
          <w:bCs/>
          <w:sz w:val="20"/>
          <w:szCs w:val="20"/>
        </w:rPr>
        <w:t>Força Motriz................................................................................................................................11</w:t>
      </w:r>
    </w:p>
    <w:p w:rsidR="00E92D98" w:rsidRDefault="00E92D98" w:rsidP="00DA1D50">
      <w:pPr>
        <w:pStyle w:val="Corpodetexto"/>
        <w:spacing w:beforeLines="20" w:afterLines="20" w:line="360" w:lineRule="auto"/>
        <w:ind w:left="720"/>
        <w:jc w:val="left"/>
        <w:rPr>
          <w:rFonts w:ascii="Arial" w:hAnsi="Arial" w:cs="Arial"/>
          <w:bCs/>
          <w:sz w:val="20"/>
          <w:szCs w:val="20"/>
        </w:rPr>
      </w:pPr>
      <w:r>
        <w:rPr>
          <w:rFonts w:ascii="Arial" w:hAnsi="Arial" w:cs="Arial"/>
          <w:bCs/>
          <w:sz w:val="20"/>
          <w:szCs w:val="20"/>
        </w:rPr>
        <w:t>Pressão.......................................................................................................................................16</w:t>
      </w:r>
    </w:p>
    <w:p w:rsidR="00E92D98" w:rsidRDefault="00E92D98" w:rsidP="00DA1D50">
      <w:pPr>
        <w:pStyle w:val="Corpodetexto"/>
        <w:spacing w:beforeLines="20" w:afterLines="20" w:line="360" w:lineRule="auto"/>
        <w:ind w:left="720"/>
        <w:jc w:val="left"/>
        <w:rPr>
          <w:rFonts w:ascii="Arial" w:hAnsi="Arial" w:cs="Arial"/>
          <w:bCs/>
          <w:sz w:val="20"/>
          <w:szCs w:val="20"/>
        </w:rPr>
      </w:pPr>
      <w:r>
        <w:rPr>
          <w:rFonts w:ascii="Arial" w:hAnsi="Arial" w:cs="Arial"/>
          <w:bCs/>
          <w:sz w:val="20"/>
          <w:szCs w:val="20"/>
        </w:rPr>
        <w:t>Estado.........................................................................................................................................23</w:t>
      </w:r>
    </w:p>
    <w:p w:rsidR="00E92D98" w:rsidRDefault="00E92D98" w:rsidP="00DA1D50">
      <w:pPr>
        <w:pStyle w:val="Corpodetexto"/>
        <w:spacing w:beforeLines="20" w:afterLines="20" w:line="360" w:lineRule="auto"/>
        <w:ind w:left="720"/>
        <w:jc w:val="left"/>
        <w:rPr>
          <w:rFonts w:ascii="Arial" w:hAnsi="Arial" w:cs="Arial"/>
          <w:bCs/>
          <w:sz w:val="20"/>
          <w:szCs w:val="20"/>
        </w:rPr>
      </w:pPr>
      <w:r>
        <w:rPr>
          <w:rFonts w:ascii="Arial" w:hAnsi="Arial" w:cs="Arial"/>
          <w:bCs/>
          <w:sz w:val="20"/>
          <w:szCs w:val="20"/>
        </w:rPr>
        <w:t>Resposta.....................................................................................................................................29</w:t>
      </w:r>
    </w:p>
    <w:p w:rsidR="00BF7545" w:rsidRDefault="00BF7545" w:rsidP="00DA1D50">
      <w:pPr>
        <w:pStyle w:val="Corpodetexto"/>
        <w:numPr>
          <w:ilvl w:val="0"/>
          <w:numId w:val="7"/>
        </w:numPr>
        <w:tabs>
          <w:tab w:val="clear" w:pos="720"/>
          <w:tab w:val="num" w:pos="-709"/>
        </w:tabs>
        <w:spacing w:beforeLines="20" w:afterLines="20" w:line="360" w:lineRule="auto"/>
        <w:ind w:hanging="720"/>
        <w:jc w:val="left"/>
        <w:rPr>
          <w:rFonts w:ascii="Arial" w:hAnsi="Arial" w:cs="Arial"/>
          <w:bCs/>
          <w:sz w:val="20"/>
          <w:szCs w:val="20"/>
        </w:rPr>
      </w:pPr>
      <w:r>
        <w:rPr>
          <w:rFonts w:ascii="Arial" w:hAnsi="Arial" w:cs="Arial"/>
          <w:bCs/>
          <w:sz w:val="20"/>
          <w:szCs w:val="20"/>
        </w:rPr>
        <w:t>CONCLUSÃO..............................................................................................................................</w:t>
      </w:r>
      <w:r w:rsidR="00ED18F2" w:rsidRPr="004C32A3">
        <w:rPr>
          <w:rFonts w:ascii="Arial" w:hAnsi="Arial" w:cs="Arial"/>
          <w:bCs/>
          <w:sz w:val="20"/>
          <w:szCs w:val="20"/>
        </w:rPr>
        <w:t>3</w:t>
      </w:r>
      <w:r w:rsidR="00E92D98">
        <w:rPr>
          <w:rFonts w:ascii="Arial" w:hAnsi="Arial" w:cs="Arial"/>
          <w:bCs/>
          <w:sz w:val="20"/>
          <w:szCs w:val="20"/>
        </w:rPr>
        <w:t>4</w:t>
      </w:r>
    </w:p>
    <w:p w:rsidR="00BF7545" w:rsidRDefault="00BF7545" w:rsidP="00DA1D50">
      <w:pPr>
        <w:pStyle w:val="Corpodetexto"/>
        <w:spacing w:beforeLines="20" w:afterLines="20" w:line="360" w:lineRule="auto"/>
        <w:jc w:val="left"/>
        <w:rPr>
          <w:rFonts w:ascii="Arial" w:hAnsi="Arial" w:cs="Arial"/>
          <w:bCs/>
          <w:sz w:val="20"/>
          <w:szCs w:val="20"/>
        </w:rPr>
      </w:pPr>
    </w:p>
    <w:p w:rsidR="00947D4B" w:rsidRDefault="00947D4B" w:rsidP="00DA1D50">
      <w:pPr>
        <w:pStyle w:val="Corpodetexto"/>
        <w:spacing w:beforeLines="20" w:afterLines="20" w:line="360" w:lineRule="auto"/>
        <w:jc w:val="left"/>
        <w:rPr>
          <w:rFonts w:ascii="Arial" w:hAnsi="Arial" w:cs="Arial"/>
          <w:bCs/>
          <w:sz w:val="20"/>
          <w:szCs w:val="20"/>
        </w:rPr>
      </w:pPr>
    </w:p>
    <w:p w:rsidR="00BF7545" w:rsidRPr="00160AEF" w:rsidRDefault="00BF7545" w:rsidP="00BF7545">
      <w:pPr>
        <w:pStyle w:val="Corpodetexto"/>
        <w:spacing w:line="360" w:lineRule="auto"/>
        <w:rPr>
          <w:rFonts w:ascii="Arial" w:hAnsi="Arial" w:cs="Arial"/>
          <w:b/>
          <w:bCs/>
          <w:sz w:val="20"/>
          <w:szCs w:val="20"/>
        </w:rPr>
      </w:pPr>
      <w:r w:rsidRPr="00160AEF">
        <w:rPr>
          <w:rFonts w:ascii="Arial" w:hAnsi="Arial" w:cs="Arial"/>
          <w:b/>
          <w:bCs/>
          <w:sz w:val="20"/>
          <w:szCs w:val="20"/>
        </w:rPr>
        <w:t>LISTA DE FIGURAS</w:t>
      </w:r>
    </w:p>
    <w:p w:rsidR="00947D4B" w:rsidRPr="00947D4B" w:rsidRDefault="00BF7545" w:rsidP="00BF7545">
      <w:pPr>
        <w:pStyle w:val="Default"/>
        <w:spacing w:line="360" w:lineRule="auto"/>
        <w:jc w:val="both"/>
        <w:rPr>
          <w:bCs/>
          <w:color w:val="auto"/>
          <w:sz w:val="20"/>
          <w:szCs w:val="20"/>
        </w:rPr>
      </w:pPr>
      <w:r w:rsidRPr="00BE215F">
        <w:rPr>
          <w:bCs/>
          <w:color w:val="auto"/>
          <w:sz w:val="20"/>
          <w:szCs w:val="20"/>
        </w:rPr>
        <w:t>Figura 1:</w:t>
      </w:r>
      <w:r w:rsidR="00947D4B" w:rsidRPr="00BE215F">
        <w:rPr>
          <w:bCs/>
          <w:color w:val="auto"/>
          <w:sz w:val="20"/>
          <w:szCs w:val="20"/>
        </w:rPr>
        <w:t xml:space="preserve"> </w:t>
      </w:r>
      <w:r w:rsidR="00947D4B" w:rsidRPr="00947D4B">
        <w:rPr>
          <w:bCs/>
          <w:color w:val="auto"/>
          <w:sz w:val="20"/>
          <w:szCs w:val="20"/>
        </w:rPr>
        <w:t>Estrutura de indicadores adaptada do modelo da Agência Ambiental Européia</w:t>
      </w:r>
      <w:r w:rsidR="00947D4B">
        <w:rPr>
          <w:bCs/>
          <w:color w:val="auto"/>
          <w:sz w:val="20"/>
          <w:szCs w:val="20"/>
        </w:rPr>
        <w:t>........</w:t>
      </w:r>
      <w:r w:rsidR="00947D4B" w:rsidRPr="00947D4B">
        <w:rPr>
          <w:bCs/>
          <w:color w:val="auto"/>
          <w:sz w:val="20"/>
          <w:szCs w:val="20"/>
        </w:rPr>
        <w:t>.</w:t>
      </w:r>
      <w:r w:rsidR="00947D4B">
        <w:rPr>
          <w:bCs/>
          <w:color w:val="auto"/>
          <w:sz w:val="20"/>
          <w:szCs w:val="20"/>
        </w:rPr>
        <w:t>.............</w:t>
      </w:r>
      <w:r w:rsidR="00ED18F2">
        <w:rPr>
          <w:bCs/>
          <w:color w:val="auto"/>
          <w:sz w:val="20"/>
          <w:szCs w:val="20"/>
        </w:rPr>
        <w:t>04</w:t>
      </w:r>
    </w:p>
    <w:p w:rsidR="00BF7545" w:rsidRPr="00BE215F" w:rsidRDefault="00947D4B" w:rsidP="00BF7545">
      <w:pPr>
        <w:pStyle w:val="Default"/>
        <w:spacing w:line="360" w:lineRule="auto"/>
        <w:jc w:val="both"/>
        <w:rPr>
          <w:bCs/>
          <w:color w:val="auto"/>
          <w:sz w:val="20"/>
          <w:szCs w:val="20"/>
        </w:rPr>
      </w:pPr>
      <w:r w:rsidRPr="00BE215F">
        <w:rPr>
          <w:bCs/>
          <w:color w:val="auto"/>
          <w:sz w:val="20"/>
          <w:szCs w:val="20"/>
        </w:rPr>
        <w:t>Figura 2: Localização do UGRHI Sapucaí Mirim/Grande no estado de São Paulo</w:t>
      </w:r>
      <w:r w:rsidR="00BF7545" w:rsidRPr="00160AEF">
        <w:rPr>
          <w:bCs/>
          <w:color w:val="auto"/>
          <w:sz w:val="20"/>
          <w:szCs w:val="20"/>
        </w:rPr>
        <w:t>..</w:t>
      </w:r>
      <w:r w:rsidR="00BF7545">
        <w:rPr>
          <w:bCs/>
          <w:color w:val="auto"/>
          <w:sz w:val="20"/>
          <w:szCs w:val="20"/>
        </w:rPr>
        <w:t>.</w:t>
      </w:r>
      <w:r>
        <w:rPr>
          <w:bCs/>
          <w:color w:val="auto"/>
          <w:sz w:val="20"/>
          <w:szCs w:val="20"/>
        </w:rPr>
        <w:t>..</w:t>
      </w:r>
      <w:r w:rsidR="00BF7545" w:rsidRPr="00160AEF">
        <w:rPr>
          <w:bCs/>
          <w:color w:val="auto"/>
          <w:sz w:val="20"/>
          <w:szCs w:val="20"/>
        </w:rPr>
        <w:t>............................</w:t>
      </w:r>
      <w:r w:rsidR="00BF7545">
        <w:rPr>
          <w:bCs/>
          <w:color w:val="auto"/>
          <w:sz w:val="20"/>
          <w:szCs w:val="20"/>
        </w:rPr>
        <w:t>0</w:t>
      </w:r>
      <w:r w:rsidR="00ED18F2">
        <w:rPr>
          <w:bCs/>
          <w:color w:val="auto"/>
          <w:sz w:val="20"/>
          <w:szCs w:val="20"/>
        </w:rPr>
        <w:t>8</w:t>
      </w:r>
    </w:p>
    <w:p w:rsidR="00BF7545" w:rsidRPr="00160AEF" w:rsidRDefault="00BF7545" w:rsidP="00BF7545">
      <w:pPr>
        <w:pStyle w:val="Legenda"/>
        <w:spacing w:before="0" w:after="0" w:line="360" w:lineRule="auto"/>
        <w:rPr>
          <w:rFonts w:cs="Arial"/>
          <w:sz w:val="20"/>
        </w:rPr>
      </w:pPr>
      <w:r w:rsidRPr="00BE215F">
        <w:rPr>
          <w:rFonts w:cs="Arial"/>
          <w:sz w:val="20"/>
        </w:rPr>
        <w:t xml:space="preserve">Figura </w:t>
      </w:r>
      <w:r w:rsidR="00BE215F" w:rsidRPr="00BE215F">
        <w:rPr>
          <w:rFonts w:cs="Arial"/>
          <w:sz w:val="20"/>
        </w:rPr>
        <w:t>3</w:t>
      </w:r>
      <w:r w:rsidRPr="00BE215F">
        <w:rPr>
          <w:rFonts w:cs="Arial"/>
          <w:sz w:val="20"/>
        </w:rPr>
        <w:t xml:space="preserve">: </w:t>
      </w:r>
      <w:r w:rsidRPr="00160AEF">
        <w:rPr>
          <w:rFonts w:cs="Arial"/>
          <w:sz w:val="20"/>
        </w:rPr>
        <w:t>Municípios</w:t>
      </w:r>
      <w:r w:rsidR="00BE215F">
        <w:rPr>
          <w:rFonts w:cs="Arial"/>
          <w:sz w:val="20"/>
        </w:rPr>
        <w:t xml:space="preserve"> e sub-bacias </w:t>
      </w:r>
      <w:r w:rsidRPr="00160AEF">
        <w:rPr>
          <w:rFonts w:cs="Arial"/>
          <w:sz w:val="20"/>
        </w:rPr>
        <w:t>que compõe a UGRHI 08....................................................</w:t>
      </w:r>
      <w:r w:rsidR="00BE215F">
        <w:rPr>
          <w:rFonts w:cs="Arial"/>
          <w:sz w:val="20"/>
        </w:rPr>
        <w:t>..</w:t>
      </w:r>
      <w:r w:rsidRPr="00160AEF">
        <w:rPr>
          <w:rFonts w:cs="Arial"/>
          <w:sz w:val="20"/>
        </w:rPr>
        <w:t>..........</w:t>
      </w:r>
      <w:r>
        <w:rPr>
          <w:rFonts w:cs="Arial"/>
          <w:sz w:val="20"/>
        </w:rPr>
        <w:t>0</w:t>
      </w:r>
      <w:r w:rsidR="00ED18F2">
        <w:rPr>
          <w:rFonts w:cs="Arial"/>
          <w:sz w:val="20"/>
        </w:rPr>
        <w:t>8</w:t>
      </w:r>
    </w:p>
    <w:p w:rsidR="00BF7545" w:rsidRDefault="00BF7545" w:rsidP="00DA1D50">
      <w:pPr>
        <w:pStyle w:val="Corpodetexto"/>
        <w:spacing w:beforeLines="20" w:afterLines="20" w:line="360" w:lineRule="auto"/>
        <w:jc w:val="left"/>
        <w:rPr>
          <w:rFonts w:ascii="Arial" w:hAnsi="Arial" w:cs="Arial"/>
          <w:bCs/>
          <w:sz w:val="20"/>
          <w:szCs w:val="20"/>
        </w:rPr>
      </w:pPr>
    </w:p>
    <w:p w:rsidR="00BF7545" w:rsidRDefault="00BF7545" w:rsidP="00DA1D50">
      <w:pPr>
        <w:pStyle w:val="Corpodetexto"/>
        <w:spacing w:beforeLines="20" w:afterLines="20" w:line="360" w:lineRule="auto"/>
        <w:jc w:val="left"/>
        <w:rPr>
          <w:rFonts w:ascii="Arial" w:hAnsi="Arial" w:cs="Arial"/>
          <w:bCs/>
          <w:sz w:val="20"/>
          <w:szCs w:val="20"/>
        </w:rPr>
      </w:pPr>
    </w:p>
    <w:p w:rsidR="00947D4B" w:rsidRDefault="00947D4B" w:rsidP="00DA1D50">
      <w:pPr>
        <w:pStyle w:val="Corpodetexto"/>
        <w:spacing w:beforeLines="20" w:afterLines="20" w:line="360" w:lineRule="auto"/>
        <w:jc w:val="left"/>
        <w:rPr>
          <w:rFonts w:ascii="Arial" w:hAnsi="Arial" w:cs="Arial"/>
          <w:bCs/>
          <w:sz w:val="20"/>
          <w:szCs w:val="20"/>
        </w:rPr>
      </w:pPr>
    </w:p>
    <w:p w:rsidR="00BF7545" w:rsidRPr="00814244" w:rsidRDefault="00BF7545" w:rsidP="00DA1D50">
      <w:pPr>
        <w:pStyle w:val="Corpodetexto"/>
        <w:spacing w:beforeLines="20" w:afterLines="20" w:line="360" w:lineRule="auto"/>
        <w:jc w:val="left"/>
        <w:rPr>
          <w:rFonts w:ascii="Arial" w:hAnsi="Arial" w:cs="Arial"/>
          <w:b/>
          <w:bCs/>
          <w:sz w:val="20"/>
          <w:szCs w:val="20"/>
        </w:rPr>
      </w:pPr>
      <w:r w:rsidRPr="00814244">
        <w:rPr>
          <w:rFonts w:ascii="Arial" w:hAnsi="Arial" w:cs="Arial"/>
          <w:b/>
          <w:bCs/>
          <w:sz w:val="20"/>
          <w:szCs w:val="20"/>
        </w:rPr>
        <w:t xml:space="preserve">ANEXOS </w:t>
      </w:r>
    </w:p>
    <w:p w:rsidR="00BF7545" w:rsidRPr="00814244" w:rsidRDefault="00BF7545" w:rsidP="00DA1D50">
      <w:pPr>
        <w:pStyle w:val="Corpodetexto"/>
        <w:spacing w:beforeLines="20" w:afterLines="20" w:line="360" w:lineRule="auto"/>
        <w:jc w:val="left"/>
        <w:rPr>
          <w:rFonts w:ascii="Arial" w:hAnsi="Arial" w:cs="Arial"/>
          <w:bCs/>
          <w:sz w:val="20"/>
          <w:szCs w:val="20"/>
        </w:rPr>
      </w:pPr>
      <w:r>
        <w:rPr>
          <w:rFonts w:ascii="Arial" w:hAnsi="Arial" w:cs="Arial"/>
          <w:bCs/>
          <w:sz w:val="20"/>
          <w:szCs w:val="20"/>
        </w:rPr>
        <w:t xml:space="preserve">ANEXO I - </w:t>
      </w:r>
      <w:r w:rsidRPr="00814244">
        <w:rPr>
          <w:rFonts w:ascii="Arial" w:hAnsi="Arial" w:cs="Arial"/>
          <w:bCs/>
          <w:sz w:val="20"/>
          <w:szCs w:val="20"/>
        </w:rPr>
        <w:t>VALORES DE REFER</w:t>
      </w:r>
      <w:r w:rsidR="00DD668E">
        <w:rPr>
          <w:rFonts w:ascii="Arial" w:hAnsi="Arial" w:cs="Arial"/>
          <w:bCs/>
          <w:sz w:val="20"/>
          <w:szCs w:val="20"/>
        </w:rPr>
        <w:t>Ê</w:t>
      </w:r>
      <w:r w:rsidRPr="00814244">
        <w:rPr>
          <w:rFonts w:ascii="Arial" w:hAnsi="Arial" w:cs="Arial"/>
          <w:bCs/>
          <w:sz w:val="20"/>
          <w:szCs w:val="20"/>
        </w:rPr>
        <w:t>NCIA..</w:t>
      </w:r>
      <w:r>
        <w:rPr>
          <w:rFonts w:ascii="Arial" w:hAnsi="Arial" w:cs="Arial"/>
          <w:bCs/>
          <w:sz w:val="20"/>
          <w:szCs w:val="20"/>
        </w:rPr>
        <w:t>..</w:t>
      </w:r>
      <w:r w:rsidRPr="00814244">
        <w:rPr>
          <w:rFonts w:ascii="Arial" w:hAnsi="Arial" w:cs="Arial"/>
          <w:bCs/>
          <w:sz w:val="20"/>
          <w:szCs w:val="20"/>
        </w:rPr>
        <w:t>...........................................................................................</w:t>
      </w:r>
      <w:r w:rsidR="004C32A3">
        <w:rPr>
          <w:rFonts w:ascii="Arial" w:hAnsi="Arial" w:cs="Arial"/>
          <w:bCs/>
          <w:sz w:val="20"/>
          <w:szCs w:val="20"/>
        </w:rPr>
        <w:t>3</w:t>
      </w:r>
      <w:r w:rsidR="00E92D98">
        <w:rPr>
          <w:rFonts w:ascii="Arial" w:hAnsi="Arial" w:cs="Arial"/>
          <w:bCs/>
          <w:sz w:val="20"/>
          <w:szCs w:val="20"/>
        </w:rPr>
        <w:t>8</w:t>
      </w:r>
    </w:p>
    <w:p w:rsidR="00BF7545" w:rsidRDefault="00BF7545" w:rsidP="00DA1D50">
      <w:pPr>
        <w:pStyle w:val="Corpodetexto"/>
        <w:spacing w:beforeLines="20" w:afterLines="20" w:line="360" w:lineRule="auto"/>
        <w:jc w:val="left"/>
        <w:rPr>
          <w:rFonts w:ascii="Arial" w:hAnsi="Arial" w:cs="Arial"/>
          <w:bCs/>
          <w:sz w:val="20"/>
          <w:szCs w:val="20"/>
        </w:rPr>
      </w:pPr>
    </w:p>
    <w:p w:rsidR="00BF7545" w:rsidRDefault="00BF7545" w:rsidP="00DA1D50">
      <w:pPr>
        <w:pStyle w:val="Corpodetexto"/>
        <w:spacing w:beforeLines="20" w:afterLines="20" w:line="360" w:lineRule="auto"/>
        <w:jc w:val="left"/>
        <w:rPr>
          <w:rFonts w:ascii="Arial" w:hAnsi="Arial" w:cs="Arial"/>
          <w:bCs/>
          <w:sz w:val="20"/>
          <w:szCs w:val="20"/>
        </w:rPr>
      </w:pPr>
    </w:p>
    <w:p w:rsidR="00BF7545" w:rsidRDefault="00BF7545" w:rsidP="00DA1D50">
      <w:pPr>
        <w:pStyle w:val="Corpodetexto"/>
        <w:spacing w:beforeLines="20" w:afterLines="20" w:line="360" w:lineRule="auto"/>
        <w:jc w:val="left"/>
        <w:rPr>
          <w:rFonts w:ascii="Arial" w:hAnsi="Arial" w:cs="Arial"/>
          <w:bCs/>
          <w:sz w:val="20"/>
          <w:szCs w:val="20"/>
        </w:rPr>
      </w:pPr>
      <w:r w:rsidRPr="00814244">
        <w:rPr>
          <w:rFonts w:ascii="Arial" w:hAnsi="Arial" w:cs="Arial"/>
          <w:b/>
          <w:bCs/>
          <w:sz w:val="20"/>
          <w:szCs w:val="20"/>
        </w:rPr>
        <w:t>GLOSS</w:t>
      </w:r>
      <w:r w:rsidR="00ED18F2">
        <w:rPr>
          <w:rFonts w:ascii="Arial" w:hAnsi="Arial" w:cs="Arial"/>
          <w:b/>
          <w:bCs/>
          <w:sz w:val="20"/>
          <w:szCs w:val="20"/>
        </w:rPr>
        <w:t>Á</w:t>
      </w:r>
      <w:r w:rsidRPr="00814244">
        <w:rPr>
          <w:rFonts w:ascii="Arial" w:hAnsi="Arial" w:cs="Arial"/>
          <w:b/>
          <w:bCs/>
          <w:sz w:val="20"/>
          <w:szCs w:val="20"/>
        </w:rPr>
        <w:t>RIO</w:t>
      </w:r>
      <w:r>
        <w:rPr>
          <w:rFonts w:ascii="Arial" w:hAnsi="Arial" w:cs="Arial"/>
          <w:bCs/>
          <w:sz w:val="20"/>
          <w:szCs w:val="20"/>
        </w:rPr>
        <w:t>............................................................................................................................................</w:t>
      </w:r>
      <w:r w:rsidR="004C32A3">
        <w:rPr>
          <w:rFonts w:ascii="Arial" w:hAnsi="Arial" w:cs="Arial"/>
          <w:bCs/>
          <w:sz w:val="20"/>
          <w:szCs w:val="20"/>
        </w:rPr>
        <w:t>4</w:t>
      </w:r>
      <w:r w:rsidR="00E92D98">
        <w:rPr>
          <w:rFonts w:ascii="Arial" w:hAnsi="Arial" w:cs="Arial"/>
          <w:bCs/>
          <w:sz w:val="20"/>
          <w:szCs w:val="20"/>
        </w:rPr>
        <w:t>9</w:t>
      </w:r>
    </w:p>
    <w:p w:rsidR="00BF7545" w:rsidRDefault="00BF7545" w:rsidP="00DA1D50">
      <w:pPr>
        <w:pStyle w:val="Corpodetexto"/>
        <w:spacing w:beforeLines="20" w:afterLines="20" w:line="360" w:lineRule="auto"/>
        <w:jc w:val="left"/>
        <w:rPr>
          <w:rFonts w:ascii="Arial" w:hAnsi="Arial" w:cs="Arial"/>
          <w:bCs/>
          <w:sz w:val="20"/>
          <w:szCs w:val="20"/>
        </w:rPr>
      </w:pPr>
    </w:p>
    <w:p w:rsidR="00BF7545" w:rsidRDefault="00BF7545" w:rsidP="00C7498B">
      <w:pPr>
        <w:spacing w:line="360" w:lineRule="auto"/>
        <w:jc w:val="both"/>
      </w:pPr>
    </w:p>
    <w:p w:rsidR="00BF7545" w:rsidRDefault="00BF7545" w:rsidP="00BF7545">
      <w:pPr>
        <w:pStyle w:val="Ttulo1"/>
        <w:spacing w:line="360" w:lineRule="auto"/>
        <w:jc w:val="both"/>
        <w:rPr>
          <w:sz w:val="24"/>
        </w:rPr>
      </w:pPr>
    </w:p>
    <w:p w:rsidR="00BF7545" w:rsidRDefault="00BF7545" w:rsidP="00BF7545">
      <w:pPr>
        <w:pStyle w:val="Ttulo1"/>
        <w:spacing w:line="360" w:lineRule="auto"/>
        <w:ind w:left="720"/>
        <w:jc w:val="both"/>
        <w:rPr>
          <w:sz w:val="24"/>
        </w:rPr>
      </w:pPr>
    </w:p>
    <w:p w:rsidR="00BF7545" w:rsidRDefault="00BF7545" w:rsidP="00BF7545">
      <w:pPr>
        <w:pStyle w:val="Ttulo1"/>
        <w:spacing w:line="360" w:lineRule="auto"/>
        <w:ind w:left="720"/>
        <w:jc w:val="both"/>
        <w:rPr>
          <w:sz w:val="24"/>
        </w:rPr>
      </w:pPr>
    </w:p>
    <w:p w:rsidR="00BF7545" w:rsidRDefault="00BF7545" w:rsidP="00BF7545">
      <w:pPr>
        <w:pStyle w:val="Ttulo1"/>
        <w:spacing w:line="360" w:lineRule="auto"/>
        <w:ind w:left="720"/>
        <w:jc w:val="both"/>
        <w:rPr>
          <w:sz w:val="24"/>
        </w:rPr>
      </w:pPr>
    </w:p>
    <w:p w:rsidR="00BF7545" w:rsidRDefault="00BF7545" w:rsidP="00BF7545"/>
    <w:p w:rsidR="00BF7545" w:rsidRDefault="00BF7545" w:rsidP="00BF7545"/>
    <w:p w:rsidR="00BF7545" w:rsidRDefault="00BF7545" w:rsidP="00BF7545"/>
    <w:p w:rsidR="00BF7545" w:rsidRDefault="00BF7545" w:rsidP="00BF7545"/>
    <w:p w:rsidR="00BF7545" w:rsidRDefault="00BF7545" w:rsidP="00BF7545"/>
    <w:p w:rsidR="00BF7545" w:rsidRDefault="00BF7545" w:rsidP="00BF7545"/>
    <w:p w:rsidR="00BF7545" w:rsidRDefault="00BF7545" w:rsidP="00BF7545"/>
    <w:p w:rsidR="00BF7545" w:rsidRDefault="00BF7545" w:rsidP="00BF7545"/>
    <w:p w:rsidR="00C7498B" w:rsidRDefault="00BE215F" w:rsidP="00C7498B">
      <w:pPr>
        <w:pStyle w:val="Ttulo1"/>
        <w:numPr>
          <w:ilvl w:val="0"/>
          <w:numId w:val="1"/>
        </w:numPr>
        <w:spacing w:line="360" w:lineRule="auto"/>
        <w:jc w:val="both"/>
        <w:rPr>
          <w:sz w:val="24"/>
        </w:rPr>
      </w:pPr>
      <w:r>
        <w:rPr>
          <w:sz w:val="24"/>
        </w:rPr>
        <w:lastRenderedPageBreak/>
        <w:t>I</w:t>
      </w:r>
      <w:r w:rsidR="00C7498B" w:rsidRPr="0015334F">
        <w:rPr>
          <w:sz w:val="24"/>
        </w:rPr>
        <w:t>NTRODUÇÃO</w:t>
      </w:r>
    </w:p>
    <w:p w:rsidR="00BF7545" w:rsidRPr="00BF7545" w:rsidRDefault="00BF7545" w:rsidP="00BF7545"/>
    <w:p w:rsidR="00C7498B" w:rsidRPr="0015334F" w:rsidRDefault="00C7498B" w:rsidP="00C7498B">
      <w:pPr>
        <w:rPr>
          <w:rFonts w:ascii="Arial" w:hAnsi="Arial" w:cs="Arial"/>
          <w:b/>
          <w:sz w:val="22"/>
          <w:szCs w:val="22"/>
        </w:rPr>
      </w:pPr>
      <w:r w:rsidRPr="0015334F">
        <w:rPr>
          <w:rFonts w:ascii="Arial" w:hAnsi="Arial" w:cs="Arial"/>
          <w:b/>
          <w:sz w:val="22"/>
          <w:szCs w:val="22"/>
        </w:rPr>
        <w:t xml:space="preserve">  </w:t>
      </w:r>
    </w:p>
    <w:p w:rsidR="00C7498B" w:rsidRPr="0015334F" w:rsidRDefault="00C7498B" w:rsidP="00C7498B">
      <w:pPr>
        <w:spacing w:line="360" w:lineRule="auto"/>
        <w:jc w:val="both"/>
        <w:rPr>
          <w:rFonts w:ascii="Arial" w:hAnsi="Arial" w:cs="Arial"/>
          <w:sz w:val="22"/>
          <w:szCs w:val="22"/>
        </w:rPr>
      </w:pPr>
    </w:p>
    <w:p w:rsidR="00C7498B" w:rsidRPr="0015334F" w:rsidRDefault="00C7498B" w:rsidP="00C7498B">
      <w:pPr>
        <w:pStyle w:val="Corpodetexto"/>
        <w:spacing w:line="360" w:lineRule="auto"/>
        <w:ind w:firstLine="360"/>
        <w:rPr>
          <w:rFonts w:ascii="Arial" w:hAnsi="Arial" w:cs="Arial"/>
          <w:sz w:val="22"/>
          <w:szCs w:val="22"/>
        </w:rPr>
      </w:pPr>
      <w:r w:rsidRPr="0015334F">
        <w:rPr>
          <w:rFonts w:ascii="Arial" w:hAnsi="Arial" w:cs="Arial"/>
          <w:sz w:val="22"/>
          <w:szCs w:val="22"/>
        </w:rPr>
        <w:t>O Relatório de Situação dos Recursos Hídricos é um instrumento previsto por lei que visa dar transparência à administração publica</w:t>
      </w:r>
      <w:r w:rsidR="00993BB5" w:rsidRPr="0015334F">
        <w:rPr>
          <w:rFonts w:ascii="Arial" w:hAnsi="Arial" w:cs="Arial"/>
          <w:sz w:val="22"/>
          <w:szCs w:val="22"/>
        </w:rPr>
        <w:t xml:space="preserve"> e subsídios às ações dos poderes executivos e legislativo em âmbito municipal, estadual e federal.</w:t>
      </w:r>
      <w:r w:rsidRPr="0015334F">
        <w:rPr>
          <w:rFonts w:ascii="Arial" w:hAnsi="Arial" w:cs="Arial"/>
          <w:sz w:val="22"/>
          <w:szCs w:val="22"/>
        </w:rPr>
        <w:t xml:space="preserve"> Est</w:t>
      </w:r>
      <w:r w:rsidR="00993BB5" w:rsidRPr="0015334F">
        <w:rPr>
          <w:rFonts w:ascii="Arial" w:hAnsi="Arial" w:cs="Arial"/>
          <w:sz w:val="22"/>
          <w:szCs w:val="22"/>
        </w:rPr>
        <w:t>á</w:t>
      </w:r>
      <w:r w:rsidRPr="0015334F">
        <w:rPr>
          <w:rFonts w:ascii="Arial" w:hAnsi="Arial" w:cs="Arial"/>
          <w:sz w:val="22"/>
          <w:szCs w:val="22"/>
        </w:rPr>
        <w:t xml:space="preserve"> previsto na Lei</w:t>
      </w:r>
      <w:r w:rsidR="00993BB5" w:rsidRPr="0015334F">
        <w:rPr>
          <w:rFonts w:ascii="Arial" w:hAnsi="Arial" w:cs="Arial"/>
          <w:sz w:val="22"/>
          <w:szCs w:val="22"/>
        </w:rPr>
        <w:t xml:space="preserve"> Estadual</w:t>
      </w:r>
      <w:r w:rsidRPr="0015334F">
        <w:rPr>
          <w:rFonts w:ascii="Arial" w:hAnsi="Arial" w:cs="Arial"/>
          <w:sz w:val="22"/>
          <w:szCs w:val="22"/>
        </w:rPr>
        <w:t xml:space="preserve"> nº 7.663/91 para subsidiar a avaliação da eficácia do Plano de Bacia Hidrográfica, bem como a proposição de eventuais ajustes.</w:t>
      </w:r>
    </w:p>
    <w:p w:rsidR="00C7498B" w:rsidRPr="0015334F" w:rsidRDefault="00C7498B"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A elaboração do Relatório de Situação é atribuição dos comitês de bacia hidrográfica, na UGRHI 08</w:t>
      </w:r>
      <w:r w:rsidR="00993BB5" w:rsidRPr="0015334F">
        <w:rPr>
          <w:rFonts w:ascii="Arial" w:hAnsi="Arial" w:cs="Arial"/>
          <w:color w:val="000000"/>
          <w:sz w:val="22"/>
          <w:szCs w:val="22"/>
        </w:rPr>
        <w:t>,</w:t>
      </w:r>
      <w:r w:rsidRPr="0015334F">
        <w:rPr>
          <w:rFonts w:ascii="Arial" w:hAnsi="Arial" w:cs="Arial"/>
          <w:color w:val="000000"/>
          <w:sz w:val="22"/>
          <w:szCs w:val="22"/>
        </w:rPr>
        <w:t xml:space="preserve"> o Comitê dos rios Sapucaí- Mirim/Grande, o presente relatório refere-se ao ano base de 2010 e são utilizados indicadores para sua elaboração, baseado no</w:t>
      </w:r>
      <w:r w:rsidR="0015334F" w:rsidRPr="0015334F">
        <w:rPr>
          <w:rFonts w:ascii="Arial" w:hAnsi="Arial" w:cs="Arial"/>
          <w:color w:val="000000"/>
          <w:sz w:val="22"/>
          <w:szCs w:val="22"/>
        </w:rPr>
        <w:t>s</w:t>
      </w:r>
      <w:r w:rsidRPr="0015334F">
        <w:rPr>
          <w:rFonts w:ascii="Arial" w:hAnsi="Arial" w:cs="Arial"/>
          <w:color w:val="000000"/>
          <w:sz w:val="22"/>
          <w:szCs w:val="22"/>
        </w:rPr>
        <w:t xml:space="preserve"> modelo</w:t>
      </w:r>
      <w:r w:rsidR="0015334F" w:rsidRPr="0015334F">
        <w:rPr>
          <w:rFonts w:ascii="Arial" w:hAnsi="Arial" w:cs="Arial"/>
          <w:color w:val="000000"/>
          <w:sz w:val="22"/>
          <w:szCs w:val="22"/>
        </w:rPr>
        <w:t>s</w:t>
      </w:r>
      <w:r w:rsidRPr="0015334F">
        <w:rPr>
          <w:rFonts w:ascii="Arial" w:hAnsi="Arial" w:cs="Arial"/>
          <w:color w:val="000000"/>
          <w:sz w:val="22"/>
          <w:szCs w:val="22"/>
        </w:rPr>
        <w:t xml:space="preserve"> de Agencias Ambientais </w:t>
      </w:r>
      <w:r w:rsidR="00993BB5" w:rsidRPr="0015334F">
        <w:rPr>
          <w:rFonts w:ascii="Arial" w:hAnsi="Arial" w:cs="Arial"/>
          <w:color w:val="000000"/>
          <w:sz w:val="22"/>
          <w:szCs w:val="22"/>
        </w:rPr>
        <w:t>I</w:t>
      </w:r>
      <w:r w:rsidRPr="0015334F">
        <w:rPr>
          <w:rFonts w:ascii="Arial" w:hAnsi="Arial" w:cs="Arial"/>
          <w:color w:val="000000"/>
          <w:sz w:val="22"/>
          <w:szCs w:val="22"/>
        </w:rPr>
        <w:t>nternacionais, no caso</w:t>
      </w:r>
      <w:r w:rsidR="00993BB5" w:rsidRPr="0015334F">
        <w:rPr>
          <w:rFonts w:ascii="Arial" w:hAnsi="Arial" w:cs="Arial"/>
          <w:color w:val="000000"/>
          <w:sz w:val="22"/>
          <w:szCs w:val="22"/>
        </w:rPr>
        <w:t xml:space="preserve">, </w:t>
      </w:r>
      <w:r w:rsidRPr="0015334F">
        <w:rPr>
          <w:rFonts w:ascii="Arial" w:hAnsi="Arial" w:cs="Arial"/>
          <w:color w:val="000000"/>
          <w:sz w:val="22"/>
          <w:szCs w:val="22"/>
        </w:rPr>
        <w:t>a Agencia Ambiental Européia – EEA – utilizando-se de indicadores que simplificam a informação e melhoram a visualização.</w:t>
      </w:r>
    </w:p>
    <w:p w:rsidR="00C7498B" w:rsidRPr="0015334F" w:rsidRDefault="00C7498B"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 xml:space="preserve">São utilizados cinco categorias de indicadores, </w:t>
      </w:r>
      <w:r w:rsidRPr="0015334F">
        <w:rPr>
          <w:rFonts w:ascii="Arial" w:hAnsi="Arial" w:cs="Arial"/>
          <w:i/>
          <w:color w:val="000000"/>
          <w:sz w:val="22"/>
          <w:szCs w:val="22"/>
        </w:rPr>
        <w:t>força-motriz, pressão, estado, impacto e resposta</w:t>
      </w:r>
      <w:r w:rsidR="0015334F" w:rsidRPr="0015334F">
        <w:rPr>
          <w:rFonts w:ascii="Arial" w:hAnsi="Arial" w:cs="Arial"/>
          <w:i/>
          <w:color w:val="000000"/>
          <w:sz w:val="22"/>
          <w:szCs w:val="22"/>
        </w:rPr>
        <w:t xml:space="preserve">. </w:t>
      </w:r>
      <w:r w:rsidR="0015334F" w:rsidRPr="0015334F">
        <w:rPr>
          <w:rFonts w:ascii="Arial" w:hAnsi="Arial" w:cs="Arial"/>
          <w:color w:val="000000"/>
          <w:sz w:val="22"/>
          <w:szCs w:val="22"/>
        </w:rPr>
        <w:t>A</w:t>
      </w:r>
      <w:r w:rsidR="00993BB5" w:rsidRPr="0015334F">
        <w:rPr>
          <w:rFonts w:ascii="Arial" w:hAnsi="Arial" w:cs="Arial"/>
          <w:i/>
          <w:color w:val="000000"/>
          <w:sz w:val="22"/>
          <w:szCs w:val="22"/>
        </w:rPr>
        <w:t xml:space="preserve"> </w:t>
      </w:r>
      <w:r w:rsidRPr="0015334F">
        <w:rPr>
          <w:rFonts w:ascii="Arial" w:hAnsi="Arial" w:cs="Arial"/>
          <w:b/>
          <w:color w:val="000000"/>
          <w:sz w:val="22"/>
          <w:szCs w:val="22"/>
        </w:rPr>
        <w:t xml:space="preserve">figura </w:t>
      </w:r>
      <w:r w:rsidR="00FA7549" w:rsidRPr="0015334F">
        <w:rPr>
          <w:rFonts w:ascii="Arial" w:hAnsi="Arial" w:cs="Arial"/>
          <w:b/>
          <w:color w:val="000000"/>
          <w:sz w:val="22"/>
          <w:szCs w:val="22"/>
        </w:rPr>
        <w:t>1</w:t>
      </w:r>
      <w:r w:rsidR="00FA7549" w:rsidRPr="0015334F">
        <w:rPr>
          <w:rFonts w:ascii="Arial" w:hAnsi="Arial" w:cs="Arial"/>
          <w:color w:val="000000"/>
          <w:sz w:val="22"/>
          <w:szCs w:val="22"/>
        </w:rPr>
        <w:t xml:space="preserve"> </w:t>
      </w:r>
      <w:r w:rsidR="0015334F" w:rsidRPr="0015334F">
        <w:rPr>
          <w:rFonts w:ascii="Arial" w:hAnsi="Arial" w:cs="Arial"/>
          <w:color w:val="000000"/>
          <w:sz w:val="22"/>
          <w:szCs w:val="22"/>
        </w:rPr>
        <w:t xml:space="preserve">demonstra </w:t>
      </w:r>
      <w:r w:rsidRPr="0015334F">
        <w:rPr>
          <w:rFonts w:ascii="Arial" w:hAnsi="Arial" w:cs="Arial"/>
          <w:color w:val="000000"/>
          <w:sz w:val="22"/>
          <w:szCs w:val="22"/>
        </w:rPr>
        <w:t xml:space="preserve">os parâmetros de cada categoria, na adaptação feita para enquadramento ao </w:t>
      </w:r>
      <w:r w:rsidR="00993BB5" w:rsidRPr="0015334F">
        <w:rPr>
          <w:rFonts w:ascii="Arial" w:hAnsi="Arial" w:cs="Arial"/>
          <w:color w:val="000000"/>
          <w:sz w:val="22"/>
          <w:szCs w:val="22"/>
        </w:rPr>
        <w:t>E</w:t>
      </w:r>
      <w:r w:rsidRPr="0015334F">
        <w:rPr>
          <w:rFonts w:ascii="Arial" w:hAnsi="Arial" w:cs="Arial"/>
          <w:color w:val="000000"/>
          <w:sz w:val="22"/>
          <w:szCs w:val="22"/>
        </w:rPr>
        <w:t>stado de São Paulo</w:t>
      </w:r>
      <w:r w:rsidR="00993BB5" w:rsidRPr="0015334F">
        <w:rPr>
          <w:rFonts w:ascii="Arial" w:hAnsi="Arial" w:cs="Arial"/>
          <w:color w:val="000000"/>
          <w:sz w:val="22"/>
          <w:szCs w:val="22"/>
        </w:rPr>
        <w:t>.</w:t>
      </w:r>
    </w:p>
    <w:p w:rsidR="00C7498B" w:rsidRPr="0015334F" w:rsidRDefault="0015334F" w:rsidP="00C7498B">
      <w:pPr>
        <w:pStyle w:val="Corpodetexto"/>
        <w:spacing w:line="360" w:lineRule="auto"/>
        <w:ind w:firstLine="360"/>
        <w:rPr>
          <w:rFonts w:ascii="Arial" w:hAnsi="Arial" w:cs="Arial"/>
          <w:color w:val="000000"/>
          <w:sz w:val="22"/>
          <w:szCs w:val="22"/>
        </w:rPr>
      </w:pPr>
      <w:r w:rsidRPr="0015334F">
        <w:rPr>
          <w:rFonts w:ascii="Arial" w:hAnsi="Arial" w:cs="Arial"/>
          <w:noProof/>
          <w:color w:val="000000"/>
          <w:sz w:val="22"/>
          <w:szCs w:val="22"/>
        </w:rPr>
        <w:drawing>
          <wp:inline distT="0" distB="0" distL="0" distR="0">
            <wp:extent cx="5400040" cy="3214117"/>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0040" cy="3214117"/>
                    </a:xfrm>
                    <a:prstGeom prst="rect">
                      <a:avLst/>
                    </a:prstGeom>
                    <a:noFill/>
                    <a:ln w="9525">
                      <a:noFill/>
                      <a:miter lim="800000"/>
                      <a:headEnd/>
                      <a:tailEnd/>
                    </a:ln>
                  </pic:spPr>
                </pic:pic>
              </a:graphicData>
            </a:graphic>
          </wp:inline>
        </w:drawing>
      </w:r>
    </w:p>
    <w:p w:rsidR="00FA7549" w:rsidRDefault="00FA7549" w:rsidP="00C7498B">
      <w:pPr>
        <w:pStyle w:val="Corpodetexto"/>
        <w:spacing w:line="360" w:lineRule="auto"/>
        <w:ind w:firstLine="360"/>
        <w:rPr>
          <w:rFonts w:ascii="Arial" w:hAnsi="Arial" w:cs="Arial"/>
          <w:color w:val="000000"/>
          <w:sz w:val="18"/>
          <w:szCs w:val="18"/>
        </w:rPr>
      </w:pPr>
      <w:r w:rsidRPr="0015334F">
        <w:rPr>
          <w:rFonts w:ascii="Arial" w:hAnsi="Arial" w:cs="Arial"/>
          <w:b/>
          <w:color w:val="000000"/>
          <w:sz w:val="18"/>
          <w:szCs w:val="18"/>
        </w:rPr>
        <w:t>Figura 1</w:t>
      </w:r>
      <w:r w:rsidRPr="0015334F">
        <w:rPr>
          <w:rFonts w:ascii="Arial" w:hAnsi="Arial" w:cs="Arial"/>
          <w:color w:val="000000"/>
          <w:sz w:val="18"/>
          <w:szCs w:val="18"/>
        </w:rPr>
        <w:t xml:space="preserve">. </w:t>
      </w:r>
      <w:r w:rsidR="004D1B6A" w:rsidRPr="0015334F">
        <w:rPr>
          <w:rFonts w:ascii="Arial" w:hAnsi="Arial" w:cs="Arial"/>
          <w:color w:val="000000"/>
          <w:sz w:val="18"/>
          <w:szCs w:val="18"/>
        </w:rPr>
        <w:t xml:space="preserve">Estrutura de indicadores adaptada do modelo da Agência Ambiental Européia. </w:t>
      </w:r>
    </w:p>
    <w:p w:rsidR="0015334F" w:rsidRPr="0015334F" w:rsidRDefault="0015334F" w:rsidP="00C7498B">
      <w:pPr>
        <w:pStyle w:val="Corpodetexto"/>
        <w:spacing w:line="360" w:lineRule="auto"/>
        <w:ind w:firstLine="360"/>
        <w:rPr>
          <w:rFonts w:ascii="Arial" w:hAnsi="Arial" w:cs="Arial"/>
          <w:color w:val="000000"/>
          <w:sz w:val="18"/>
          <w:szCs w:val="18"/>
        </w:rPr>
      </w:pPr>
    </w:p>
    <w:p w:rsidR="00C7498B" w:rsidRPr="0015334F" w:rsidRDefault="00C7498B"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O modelo trabalha com uma Matriz de Correlação das categorias citadas, relacionadas com o Estado das Águas - Qualidade, Disponibilidade e Eventos Críticos, ponderadas as correlações de maior magnitude para cada bacia</w:t>
      </w:r>
      <w:r w:rsidR="007E20F6" w:rsidRPr="0015334F">
        <w:rPr>
          <w:rFonts w:ascii="Arial" w:hAnsi="Arial" w:cs="Arial"/>
          <w:color w:val="000000"/>
          <w:sz w:val="22"/>
          <w:szCs w:val="22"/>
        </w:rPr>
        <w:t xml:space="preserve"> hidrográfica</w:t>
      </w:r>
      <w:r w:rsidRPr="0015334F">
        <w:rPr>
          <w:rFonts w:ascii="Arial" w:hAnsi="Arial" w:cs="Arial"/>
          <w:color w:val="000000"/>
          <w:sz w:val="22"/>
          <w:szCs w:val="22"/>
        </w:rPr>
        <w:t>.</w:t>
      </w:r>
    </w:p>
    <w:p w:rsidR="00C7498B" w:rsidRPr="0015334F" w:rsidRDefault="00C7498B"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 xml:space="preserve">No atual relatório foram adotados 64 Parâmetros/Grandezas, sendo divididos dentro das categorias, 13 Parâmetros na categoria Força-Motriz; 19 Parâmetros na categoria Pressão; </w:t>
      </w:r>
      <w:r w:rsidRPr="0015334F">
        <w:rPr>
          <w:rFonts w:ascii="Arial" w:hAnsi="Arial" w:cs="Arial"/>
          <w:color w:val="000000"/>
          <w:sz w:val="22"/>
          <w:szCs w:val="22"/>
        </w:rPr>
        <w:lastRenderedPageBreak/>
        <w:t>15 Parâmetros na categoria Estado e 17 Parâmetros na categoria Resposta, a categoria Impacto,</w:t>
      </w:r>
      <w:r w:rsidR="007E20F6" w:rsidRPr="0015334F">
        <w:rPr>
          <w:rFonts w:ascii="Arial" w:hAnsi="Arial" w:cs="Arial"/>
          <w:color w:val="000000"/>
          <w:sz w:val="22"/>
          <w:szCs w:val="22"/>
        </w:rPr>
        <w:t xml:space="preserve"> apresenta</w:t>
      </w:r>
      <w:r w:rsidR="008932F7" w:rsidRPr="0015334F">
        <w:rPr>
          <w:rFonts w:ascii="Arial" w:hAnsi="Arial" w:cs="Arial"/>
          <w:color w:val="000000"/>
          <w:sz w:val="22"/>
          <w:szCs w:val="22"/>
        </w:rPr>
        <w:t>ndo somente</w:t>
      </w:r>
      <w:r w:rsidR="007E20F6" w:rsidRPr="0015334F">
        <w:rPr>
          <w:rFonts w:ascii="Arial" w:hAnsi="Arial" w:cs="Arial"/>
          <w:color w:val="000000"/>
          <w:sz w:val="22"/>
          <w:szCs w:val="22"/>
        </w:rPr>
        <w:t xml:space="preserve"> 1 Parâmetro, </w:t>
      </w:r>
      <w:r w:rsidRPr="0015334F">
        <w:rPr>
          <w:rFonts w:ascii="Arial" w:hAnsi="Arial" w:cs="Arial"/>
          <w:color w:val="000000"/>
          <w:sz w:val="22"/>
          <w:szCs w:val="22"/>
        </w:rPr>
        <w:t>qu</w:t>
      </w:r>
      <w:r w:rsidR="007E20F6" w:rsidRPr="0015334F">
        <w:rPr>
          <w:rFonts w:ascii="Arial" w:hAnsi="Arial" w:cs="Arial"/>
          <w:color w:val="000000"/>
          <w:sz w:val="22"/>
          <w:szCs w:val="22"/>
        </w:rPr>
        <w:t>e</w:t>
      </w:r>
      <w:r w:rsidRPr="0015334F">
        <w:rPr>
          <w:rFonts w:ascii="Arial" w:hAnsi="Arial" w:cs="Arial"/>
          <w:color w:val="000000"/>
          <w:sz w:val="22"/>
          <w:szCs w:val="22"/>
        </w:rPr>
        <w:t xml:space="preserve"> trata da ‘Incidência anual de esquistossomose autóctone’ em n</w:t>
      </w:r>
      <w:r w:rsidR="007E20F6" w:rsidRPr="0015334F">
        <w:rPr>
          <w:rFonts w:ascii="Arial" w:hAnsi="Arial" w:cs="Arial"/>
          <w:color w:val="000000"/>
          <w:sz w:val="22"/>
          <w:szCs w:val="22"/>
        </w:rPr>
        <w:t>ú</w:t>
      </w:r>
      <w:r w:rsidRPr="0015334F">
        <w:rPr>
          <w:rFonts w:ascii="Arial" w:hAnsi="Arial" w:cs="Arial"/>
          <w:color w:val="000000"/>
          <w:sz w:val="22"/>
          <w:szCs w:val="22"/>
        </w:rPr>
        <w:t xml:space="preserve">mero de casos/100.000 habitantes.ano, </w:t>
      </w:r>
      <w:r w:rsidR="007E20F6" w:rsidRPr="0015334F">
        <w:rPr>
          <w:rFonts w:ascii="Arial" w:hAnsi="Arial" w:cs="Arial"/>
          <w:color w:val="000000"/>
          <w:sz w:val="22"/>
          <w:szCs w:val="22"/>
        </w:rPr>
        <w:t>qu</w:t>
      </w:r>
      <w:r w:rsidRPr="0015334F">
        <w:rPr>
          <w:rFonts w:ascii="Arial" w:hAnsi="Arial" w:cs="Arial"/>
          <w:color w:val="000000"/>
          <w:sz w:val="22"/>
          <w:szCs w:val="22"/>
        </w:rPr>
        <w:t xml:space="preserve">e de acordo com os levantamentos feitos, a Bacia Hidrográfica dos Rios Sapucaí- Mirim/Grande </w:t>
      </w:r>
      <w:r w:rsidR="00F64998" w:rsidRPr="0015334F">
        <w:rPr>
          <w:rFonts w:ascii="Arial" w:hAnsi="Arial" w:cs="Arial"/>
          <w:color w:val="000000"/>
          <w:sz w:val="22"/>
          <w:szCs w:val="22"/>
        </w:rPr>
        <w:t xml:space="preserve">é inexistente </w:t>
      </w:r>
      <w:r w:rsidRPr="0015334F">
        <w:rPr>
          <w:rFonts w:ascii="Arial" w:hAnsi="Arial" w:cs="Arial"/>
          <w:color w:val="000000"/>
          <w:sz w:val="22"/>
          <w:szCs w:val="22"/>
        </w:rPr>
        <w:t>casos desde 2008, optou-se portanto que a categoria seria retirada</w:t>
      </w:r>
      <w:r w:rsidR="00DD668E">
        <w:rPr>
          <w:rFonts w:ascii="Arial" w:hAnsi="Arial" w:cs="Arial"/>
          <w:color w:val="000000"/>
          <w:sz w:val="22"/>
          <w:szCs w:val="22"/>
        </w:rPr>
        <w:t xml:space="preserve"> </w:t>
      </w:r>
      <w:r w:rsidRPr="0015334F">
        <w:rPr>
          <w:rFonts w:ascii="Arial" w:hAnsi="Arial" w:cs="Arial"/>
          <w:color w:val="000000"/>
          <w:sz w:val="22"/>
          <w:szCs w:val="22"/>
        </w:rPr>
        <w:t>do Relatório de Situação 2011 ano base 2010.</w:t>
      </w:r>
    </w:p>
    <w:p w:rsidR="00F64998" w:rsidRPr="0015334F" w:rsidRDefault="00F64998"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 xml:space="preserve">Os Indicadores/parâmetros estão divididos em dois grupos: indicadores básicos (aplicados também ao relatório Estadual), destacados pela cor amarela e indicadores específicos (referente às peculiaridades da bacia), destacados pela cor branca. </w:t>
      </w:r>
    </w:p>
    <w:p w:rsidR="00770A7B" w:rsidRPr="0015334F" w:rsidRDefault="00770A7B" w:rsidP="00C7498B">
      <w:pPr>
        <w:pStyle w:val="Corpodetexto"/>
        <w:spacing w:line="360" w:lineRule="auto"/>
        <w:ind w:firstLine="360"/>
        <w:rPr>
          <w:rFonts w:ascii="Arial" w:hAnsi="Arial" w:cs="Arial"/>
          <w:color w:val="000000"/>
          <w:sz w:val="22"/>
          <w:szCs w:val="22"/>
        </w:rPr>
      </w:pPr>
      <w:r w:rsidRPr="0015334F">
        <w:rPr>
          <w:rFonts w:ascii="Arial" w:hAnsi="Arial" w:cs="Arial"/>
          <w:color w:val="000000"/>
          <w:sz w:val="22"/>
          <w:szCs w:val="22"/>
        </w:rPr>
        <w:t>Novos parâmetros foram inseridos esse ano: Índice de perdas do sistema de distribuição de água, cobertura do sistema de coleta de resíduos sólidos, cobertura da rede coletora de efluentes sanitários, densidade da rede de monitoramento pluviométrico, densidade da rede de monitoramento hidrológico</w:t>
      </w:r>
      <w:r w:rsidR="00DD668E">
        <w:rPr>
          <w:rFonts w:ascii="Arial" w:hAnsi="Arial" w:cs="Arial"/>
          <w:color w:val="000000"/>
          <w:sz w:val="22"/>
          <w:szCs w:val="22"/>
        </w:rPr>
        <w:t>, destacados pela cor roxa</w:t>
      </w:r>
      <w:r w:rsidRPr="0015334F">
        <w:rPr>
          <w:rFonts w:ascii="Arial" w:hAnsi="Arial" w:cs="Arial"/>
          <w:color w:val="000000"/>
          <w:sz w:val="22"/>
          <w:szCs w:val="22"/>
        </w:rPr>
        <w:t>.</w:t>
      </w:r>
    </w:p>
    <w:p w:rsidR="00E521CC" w:rsidRPr="0015334F" w:rsidRDefault="008E0DDB" w:rsidP="00C7498B">
      <w:pPr>
        <w:pStyle w:val="Corpodetexto"/>
        <w:spacing w:line="360" w:lineRule="auto"/>
        <w:ind w:firstLine="360"/>
        <w:rPr>
          <w:rFonts w:ascii="Arial" w:hAnsi="Arial" w:cs="Arial"/>
          <w:color w:val="000000"/>
          <w:sz w:val="22"/>
          <w:szCs w:val="22"/>
        </w:rPr>
      </w:pPr>
      <w:r>
        <w:rPr>
          <w:rFonts w:ascii="Arial" w:hAnsi="Arial" w:cs="Arial"/>
          <w:noProof/>
          <w:color w:val="000000"/>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295pt;margin-top:111.05pt;width:46.4pt;height:34.15pt;z-index:251620864;mso-height-percent:200;mso-height-percent:200;mso-width-relative:margin;mso-height-relative:margin" stroked="f">
            <v:textbox style="mso-next-textbox:#_x0000_s1030;mso-fit-shape-to-text:t">
              <w:txbxContent>
                <w:p w:rsidR="00E92D98" w:rsidRDefault="00E92D98">
                  <w:r w:rsidRPr="00E521CC">
                    <w:rPr>
                      <w:noProof/>
                    </w:rPr>
                    <w:drawing>
                      <wp:inline distT="0" distB="0" distL="0" distR="0">
                        <wp:extent cx="368300" cy="332740"/>
                        <wp:effectExtent l="19050" t="0" r="0" b="0"/>
                        <wp:docPr id="10" name="Imagem 4" descr="C:\Servidor\Relatório de Situação_2010\RS_2010\1 Versão\Carinhas_png\cara_vermel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rvidor\Relatório de Situação_2010\RS_2010\1 Versão\Carinhas_png\cara_vermelha.png"/>
                                <pic:cNvPicPr>
                                  <a:picLocks noChangeAspect="1" noChangeArrowheads="1"/>
                                </pic:cNvPicPr>
                              </pic:nvPicPr>
                              <pic:blipFill>
                                <a:blip r:embed="rId9"/>
                                <a:srcRect/>
                                <a:stretch>
                                  <a:fillRect/>
                                </a:stretch>
                              </pic:blipFill>
                              <pic:spPr bwMode="auto">
                                <a:xfrm>
                                  <a:off x="0" y="0"/>
                                  <a:ext cx="368300" cy="332740"/>
                                </a:xfrm>
                                <a:prstGeom prst="rect">
                                  <a:avLst/>
                                </a:prstGeom>
                                <a:noFill/>
                                <a:ln w="9525">
                                  <a:noFill/>
                                  <a:miter lim="800000"/>
                                  <a:headEnd/>
                                  <a:tailEnd/>
                                </a:ln>
                              </pic:spPr>
                            </pic:pic>
                          </a:graphicData>
                        </a:graphic>
                      </wp:inline>
                    </w:drawing>
                  </w:r>
                </w:p>
              </w:txbxContent>
            </v:textbox>
          </v:shape>
        </w:pict>
      </w:r>
      <w:r w:rsidRPr="008E0DDB">
        <w:rPr>
          <w:rFonts w:ascii="Arial" w:hAnsi="Arial" w:cs="Arial"/>
          <w:i/>
          <w:noProof/>
          <w:color w:val="000000"/>
          <w:sz w:val="22"/>
          <w:szCs w:val="22"/>
          <w:lang w:eastAsia="en-US"/>
        </w:rPr>
        <w:pict>
          <v:shape id="_x0000_s1029" type="#_x0000_t202" style="position:absolute;left:0;text-align:left;margin-left:215.55pt;margin-top:111.05pt;width:41.9pt;height:35.05pt;z-index:251619840;mso-height-percent:200;mso-height-percent:200;mso-width-relative:margin;mso-height-relative:margin" stroked="f">
            <v:textbox style="mso-next-textbox:#_x0000_s1029;mso-fit-shape-to-text:t">
              <w:txbxContent>
                <w:p w:rsidR="00E92D98" w:rsidRDefault="00E92D98">
                  <w:r w:rsidRPr="00E521CC">
                    <w:rPr>
                      <w:noProof/>
                    </w:rPr>
                    <w:drawing>
                      <wp:inline distT="0" distB="0" distL="0" distR="0">
                        <wp:extent cx="344170" cy="344170"/>
                        <wp:effectExtent l="19050" t="0" r="0" b="0"/>
                        <wp:docPr id="9" name="Imagem 2"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a_amarela.png"/>
                                <pic:cNvPicPr>
                                  <a:picLocks noChangeAspect="1" noChangeArrowheads="1"/>
                                </pic:cNvPicPr>
                              </pic:nvPicPr>
                              <pic:blipFill>
                                <a:blip r:embed="rId10"/>
                                <a:srcRect/>
                                <a:stretch>
                                  <a:fillRect/>
                                </a:stretch>
                              </pic:blipFill>
                              <pic:spPr bwMode="auto">
                                <a:xfrm>
                                  <a:off x="0" y="0"/>
                                  <a:ext cx="344170" cy="344170"/>
                                </a:xfrm>
                                <a:prstGeom prst="rect">
                                  <a:avLst/>
                                </a:prstGeom>
                                <a:noFill/>
                                <a:ln w="9525">
                                  <a:noFill/>
                                  <a:miter lim="800000"/>
                                  <a:headEnd/>
                                  <a:tailEnd/>
                                </a:ln>
                              </pic:spPr>
                            </pic:pic>
                          </a:graphicData>
                        </a:graphic>
                      </wp:inline>
                    </w:drawing>
                  </w:r>
                </w:p>
              </w:txbxContent>
            </v:textbox>
          </v:shape>
        </w:pict>
      </w:r>
      <w:r w:rsidRPr="008E0DDB">
        <w:rPr>
          <w:rFonts w:ascii="Arial" w:hAnsi="Arial" w:cs="Arial"/>
          <w:i/>
          <w:noProof/>
          <w:color w:val="000000"/>
          <w:sz w:val="22"/>
          <w:szCs w:val="22"/>
          <w:lang w:eastAsia="en-US"/>
        </w:rPr>
        <w:pict>
          <v:shape id="_x0000_s1028" type="#_x0000_t202" style="position:absolute;left:0;text-align:left;margin-left:143.65pt;margin-top:111.05pt;width:48.8pt;height:36.75pt;z-index:251618816;mso-width-relative:margin;mso-height-relative:margin" stroked="f">
            <v:textbox style="mso-next-textbox:#_x0000_s1028">
              <w:txbxContent>
                <w:p w:rsidR="00E92D98" w:rsidRDefault="00E92D98">
                  <w:r w:rsidRPr="00E521CC">
                    <w:rPr>
                      <w:noProof/>
                    </w:rPr>
                    <w:drawing>
                      <wp:inline distT="0" distB="0" distL="0" distR="0">
                        <wp:extent cx="415925" cy="379730"/>
                        <wp:effectExtent l="19050" t="0" r="0" b="0"/>
                        <wp:docPr id="7" name="Imagem 1"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a_verde.png"/>
                                <pic:cNvPicPr>
                                  <a:picLocks noChangeAspect="1" noChangeArrowheads="1"/>
                                </pic:cNvPicPr>
                              </pic:nvPicPr>
                              <pic:blipFill>
                                <a:blip r:embed="rId11"/>
                                <a:srcRect/>
                                <a:stretch>
                                  <a:fillRect/>
                                </a:stretch>
                              </pic:blipFill>
                              <pic:spPr bwMode="auto">
                                <a:xfrm>
                                  <a:off x="0" y="0"/>
                                  <a:ext cx="415925" cy="379730"/>
                                </a:xfrm>
                                <a:prstGeom prst="rect">
                                  <a:avLst/>
                                </a:prstGeom>
                                <a:noFill/>
                                <a:ln w="9525">
                                  <a:noFill/>
                                  <a:miter lim="800000"/>
                                  <a:headEnd/>
                                  <a:tailEnd/>
                                </a:ln>
                              </pic:spPr>
                            </pic:pic>
                          </a:graphicData>
                        </a:graphic>
                      </wp:inline>
                    </w:drawing>
                  </w:r>
                </w:p>
              </w:txbxContent>
            </v:textbox>
          </v:shape>
        </w:pict>
      </w:r>
      <w:r w:rsidR="00770A7B" w:rsidRPr="0015334F">
        <w:rPr>
          <w:rFonts w:ascii="Arial" w:hAnsi="Arial" w:cs="Arial"/>
          <w:sz w:val="22"/>
          <w:szCs w:val="22"/>
        </w:rPr>
        <w:t xml:space="preserve"> </w:t>
      </w:r>
      <w:r w:rsidR="00C7498B" w:rsidRPr="0015334F">
        <w:rPr>
          <w:rFonts w:ascii="Arial" w:hAnsi="Arial" w:cs="Arial"/>
          <w:color w:val="000000"/>
          <w:sz w:val="22"/>
          <w:szCs w:val="22"/>
        </w:rPr>
        <w:t xml:space="preserve">A metodologia utilizada seguiu  a orientação enviada através da releitura </w:t>
      </w:r>
      <w:r w:rsidR="00770A7B" w:rsidRPr="0015334F">
        <w:rPr>
          <w:rFonts w:ascii="Arial" w:hAnsi="Arial" w:cs="Arial"/>
          <w:color w:val="000000"/>
          <w:sz w:val="22"/>
          <w:szCs w:val="22"/>
        </w:rPr>
        <w:t xml:space="preserve">desses </w:t>
      </w:r>
      <w:r w:rsidR="00C7498B" w:rsidRPr="0015334F">
        <w:rPr>
          <w:rFonts w:ascii="Arial" w:hAnsi="Arial" w:cs="Arial"/>
          <w:color w:val="000000"/>
          <w:sz w:val="22"/>
          <w:szCs w:val="22"/>
        </w:rPr>
        <w:t>indicadores</w:t>
      </w:r>
      <w:r w:rsidR="00770A7B" w:rsidRPr="0015334F">
        <w:rPr>
          <w:rFonts w:ascii="Arial" w:hAnsi="Arial" w:cs="Arial"/>
          <w:color w:val="000000"/>
          <w:sz w:val="22"/>
          <w:szCs w:val="22"/>
        </w:rPr>
        <w:t xml:space="preserve"> pela </w:t>
      </w:r>
      <w:r w:rsidR="00DD668E" w:rsidRPr="0015334F">
        <w:rPr>
          <w:rFonts w:ascii="Arial" w:hAnsi="Arial" w:cs="Arial"/>
          <w:sz w:val="22"/>
          <w:szCs w:val="22"/>
        </w:rPr>
        <w:t>Coordenadoria de Recursos Hídricos</w:t>
      </w:r>
      <w:r w:rsidR="00DD668E" w:rsidRPr="0015334F">
        <w:rPr>
          <w:rFonts w:ascii="Arial" w:hAnsi="Arial" w:cs="Arial"/>
          <w:color w:val="000000"/>
          <w:sz w:val="22"/>
          <w:szCs w:val="22"/>
        </w:rPr>
        <w:t xml:space="preserve"> </w:t>
      </w:r>
      <w:r w:rsidR="00DD668E">
        <w:rPr>
          <w:rFonts w:ascii="Arial" w:hAnsi="Arial" w:cs="Arial"/>
          <w:color w:val="000000"/>
          <w:sz w:val="22"/>
          <w:szCs w:val="22"/>
        </w:rPr>
        <w:t xml:space="preserve">- </w:t>
      </w:r>
      <w:r w:rsidR="00770A7B" w:rsidRPr="0015334F">
        <w:rPr>
          <w:rFonts w:ascii="Arial" w:hAnsi="Arial" w:cs="Arial"/>
          <w:color w:val="000000"/>
          <w:sz w:val="22"/>
          <w:szCs w:val="22"/>
        </w:rPr>
        <w:t>CRH</w:t>
      </w:r>
      <w:r w:rsidR="00C30914">
        <w:rPr>
          <w:rFonts w:ascii="Arial" w:hAnsi="Arial" w:cs="Arial"/>
          <w:color w:val="000000"/>
          <w:sz w:val="22"/>
          <w:szCs w:val="22"/>
        </w:rPr>
        <w:t>I</w:t>
      </w:r>
      <w:r w:rsidR="00770A7B" w:rsidRPr="0015334F">
        <w:rPr>
          <w:rFonts w:ascii="Arial" w:hAnsi="Arial" w:cs="Arial"/>
          <w:color w:val="000000"/>
          <w:sz w:val="22"/>
          <w:szCs w:val="22"/>
        </w:rPr>
        <w:t>/S</w:t>
      </w:r>
      <w:r w:rsidR="00E521CC" w:rsidRPr="0015334F">
        <w:rPr>
          <w:rFonts w:ascii="Arial" w:hAnsi="Arial" w:cs="Arial"/>
          <w:color w:val="000000"/>
          <w:sz w:val="22"/>
          <w:szCs w:val="22"/>
        </w:rPr>
        <w:t>S</w:t>
      </w:r>
      <w:r w:rsidR="0015334F" w:rsidRPr="0015334F">
        <w:rPr>
          <w:rFonts w:ascii="Arial" w:hAnsi="Arial" w:cs="Arial"/>
          <w:color w:val="000000"/>
          <w:sz w:val="22"/>
          <w:szCs w:val="22"/>
        </w:rPr>
        <w:t>RH</w:t>
      </w:r>
      <w:r w:rsidR="00770A7B" w:rsidRPr="0015334F">
        <w:rPr>
          <w:rFonts w:ascii="Arial" w:hAnsi="Arial" w:cs="Arial"/>
          <w:color w:val="000000"/>
          <w:sz w:val="22"/>
          <w:szCs w:val="22"/>
        </w:rPr>
        <w:t xml:space="preserve"> </w:t>
      </w:r>
      <w:r w:rsidR="00C7498B" w:rsidRPr="0015334F">
        <w:rPr>
          <w:rFonts w:ascii="Arial" w:hAnsi="Arial" w:cs="Arial"/>
          <w:color w:val="000000"/>
          <w:sz w:val="22"/>
          <w:szCs w:val="22"/>
        </w:rPr>
        <w:t>, com pontuações que seguem em gráficos e comentários que esclarecem os mesmos, sendo a simbologia utilizada além de gráficos, mapas, para melhor visualização e localização e também em forma de  “carinhas” que dispõem informações da situação atual em alguns parâmetros como</w:t>
      </w:r>
      <w:r w:rsidR="00E521CC" w:rsidRPr="0015334F">
        <w:rPr>
          <w:rFonts w:ascii="Arial" w:hAnsi="Arial" w:cs="Arial"/>
          <w:color w:val="000000"/>
          <w:sz w:val="22"/>
          <w:szCs w:val="22"/>
        </w:rPr>
        <w:t>:</w:t>
      </w:r>
    </w:p>
    <w:p w:rsidR="0015334F" w:rsidRPr="0015334F" w:rsidRDefault="0015334F" w:rsidP="00C7498B">
      <w:pPr>
        <w:pStyle w:val="Corpodetexto"/>
        <w:spacing w:line="360" w:lineRule="auto"/>
        <w:ind w:firstLine="360"/>
        <w:rPr>
          <w:rFonts w:ascii="Arial" w:hAnsi="Arial" w:cs="Arial"/>
          <w:color w:val="000000"/>
          <w:sz w:val="22"/>
          <w:szCs w:val="22"/>
        </w:rPr>
      </w:pPr>
    </w:p>
    <w:p w:rsidR="0015334F" w:rsidRPr="0015334F" w:rsidRDefault="0015334F" w:rsidP="00C7498B">
      <w:pPr>
        <w:pStyle w:val="Corpodetexto"/>
        <w:spacing w:line="360" w:lineRule="auto"/>
        <w:ind w:firstLine="360"/>
        <w:rPr>
          <w:rFonts w:ascii="Arial" w:hAnsi="Arial" w:cs="Arial"/>
          <w:color w:val="000000"/>
          <w:sz w:val="22"/>
          <w:szCs w:val="22"/>
        </w:rPr>
      </w:pPr>
    </w:p>
    <w:p w:rsidR="00C7498B" w:rsidRPr="0015334F" w:rsidRDefault="008E0DDB" w:rsidP="00C7498B">
      <w:pPr>
        <w:pStyle w:val="Corpodetexto"/>
        <w:spacing w:line="360" w:lineRule="auto"/>
        <w:ind w:firstLine="360"/>
        <w:rPr>
          <w:rFonts w:ascii="Arial" w:hAnsi="Arial" w:cs="Arial"/>
          <w:i/>
          <w:noProof/>
          <w:color w:val="000000"/>
          <w:sz w:val="22"/>
          <w:szCs w:val="22"/>
        </w:rPr>
      </w:pPr>
      <w:r>
        <w:rPr>
          <w:rFonts w:ascii="Arial" w:hAnsi="Arial" w:cs="Arial"/>
          <w:i/>
          <w:noProof/>
          <w:color w:val="000000"/>
          <w:sz w:val="22"/>
          <w:szCs w:val="22"/>
        </w:rPr>
        <w:pict>
          <v:shape id="_x0000_s1032" type="#_x0000_t202" style="position:absolute;left:0;text-align:left;margin-left:299pt;margin-top:15.95pt;width:43pt;height:18.7pt;z-index:251622912;mso-height-percent:200;mso-height-percent:200;mso-width-relative:margin;mso-height-relative:margin" stroked="f">
            <v:textbox style="mso-next-textbox:#_x0000_s1032;mso-fit-shape-to-text:t">
              <w:txbxContent>
                <w:p w:rsidR="00E92D98" w:rsidRPr="00E521CC" w:rsidRDefault="00E92D98" w:rsidP="00E521CC">
                  <w:pPr>
                    <w:rPr>
                      <w:sz w:val="20"/>
                      <w:szCs w:val="20"/>
                    </w:rPr>
                  </w:pPr>
                  <w:r>
                    <w:rPr>
                      <w:sz w:val="20"/>
                      <w:szCs w:val="20"/>
                    </w:rPr>
                    <w:t>RUIM</w:t>
                  </w:r>
                </w:p>
              </w:txbxContent>
            </v:textbox>
          </v:shape>
        </w:pict>
      </w:r>
      <w:r>
        <w:rPr>
          <w:rFonts w:ascii="Arial" w:hAnsi="Arial" w:cs="Arial"/>
          <w:i/>
          <w:noProof/>
          <w:color w:val="000000"/>
          <w:sz w:val="22"/>
          <w:szCs w:val="22"/>
        </w:rPr>
        <w:pict>
          <v:shape id="_x0000_s1031" type="#_x0000_t202" style="position:absolute;left:0;text-align:left;margin-left:210.15pt;margin-top:14.7pt;width:69.25pt;height:18.7pt;z-index:251621888;mso-height-percent:200;mso-height-percent:200;mso-width-relative:margin;mso-height-relative:margin" stroked="f">
            <v:textbox style="mso-next-textbox:#_x0000_s1031;mso-fit-shape-to-text:t">
              <w:txbxContent>
                <w:p w:rsidR="00E92D98" w:rsidRPr="00E521CC" w:rsidRDefault="00E92D98" w:rsidP="00E521CC">
                  <w:pPr>
                    <w:rPr>
                      <w:sz w:val="20"/>
                      <w:szCs w:val="20"/>
                    </w:rPr>
                  </w:pPr>
                  <w:r>
                    <w:rPr>
                      <w:sz w:val="20"/>
                      <w:szCs w:val="20"/>
                    </w:rPr>
                    <w:t>REGULAR</w:t>
                  </w:r>
                </w:p>
              </w:txbxContent>
            </v:textbox>
          </v:shape>
        </w:pict>
      </w:r>
      <w:r>
        <w:rPr>
          <w:rFonts w:ascii="Arial" w:hAnsi="Arial" w:cs="Arial"/>
          <w:i/>
          <w:noProof/>
          <w:color w:val="000000"/>
          <w:sz w:val="22"/>
          <w:szCs w:val="22"/>
          <w:lang w:eastAsia="en-US"/>
        </w:rPr>
        <w:pict>
          <v:shape id="_x0000_s1026" type="#_x0000_t202" style="position:absolute;left:0;text-align:left;margin-left:149.8pt;margin-top:13.75pt;width:38.15pt;height:18.7pt;z-index:251617792;mso-height-percent:200;mso-height-percent:200;mso-width-relative:margin;mso-height-relative:margin" stroked="f">
            <v:textbox style="mso-next-textbox:#_x0000_s1026;mso-fit-shape-to-text:t">
              <w:txbxContent>
                <w:p w:rsidR="00E92D98" w:rsidRPr="00E521CC" w:rsidRDefault="00E92D98">
                  <w:pPr>
                    <w:rPr>
                      <w:sz w:val="20"/>
                      <w:szCs w:val="20"/>
                    </w:rPr>
                  </w:pPr>
                  <w:r w:rsidRPr="00E521CC">
                    <w:rPr>
                      <w:sz w:val="20"/>
                      <w:szCs w:val="20"/>
                    </w:rPr>
                    <w:t>BOM</w:t>
                  </w:r>
                </w:p>
              </w:txbxContent>
            </v:textbox>
          </v:shape>
        </w:pict>
      </w:r>
      <w:r w:rsidR="00C7498B" w:rsidRPr="0015334F">
        <w:rPr>
          <w:rFonts w:ascii="Arial" w:hAnsi="Arial" w:cs="Arial"/>
          <w:color w:val="000000"/>
          <w:sz w:val="22"/>
          <w:szCs w:val="22"/>
        </w:rPr>
        <w:t xml:space="preserve"> </w:t>
      </w:r>
      <w:r w:rsidR="00C7498B" w:rsidRPr="0015334F">
        <w:rPr>
          <w:rFonts w:ascii="Arial" w:hAnsi="Arial" w:cs="Arial"/>
          <w:i/>
          <w:noProof/>
          <w:color w:val="000000"/>
          <w:sz w:val="22"/>
          <w:szCs w:val="22"/>
        </w:rPr>
        <w:t xml:space="preserve">  </w:t>
      </w:r>
    </w:p>
    <w:p w:rsidR="00E521CC" w:rsidRPr="0015334F" w:rsidRDefault="00E521CC" w:rsidP="00C7498B">
      <w:pPr>
        <w:pStyle w:val="Corpodetexto"/>
        <w:spacing w:line="360" w:lineRule="auto"/>
        <w:ind w:firstLine="360"/>
        <w:rPr>
          <w:rFonts w:ascii="Arial" w:hAnsi="Arial" w:cs="Arial"/>
          <w:i/>
          <w:noProof/>
          <w:color w:val="000000"/>
          <w:sz w:val="22"/>
          <w:szCs w:val="22"/>
        </w:rPr>
      </w:pPr>
    </w:p>
    <w:p w:rsidR="008932F7" w:rsidRPr="0015334F" w:rsidRDefault="00C7498B" w:rsidP="00C7498B">
      <w:pPr>
        <w:pStyle w:val="Corpodetexto"/>
        <w:spacing w:line="360" w:lineRule="auto"/>
        <w:ind w:firstLine="360"/>
        <w:rPr>
          <w:rFonts w:ascii="Arial" w:hAnsi="Arial" w:cs="Arial"/>
          <w:noProof/>
          <w:sz w:val="22"/>
          <w:szCs w:val="22"/>
        </w:rPr>
      </w:pPr>
      <w:r w:rsidRPr="0015334F">
        <w:rPr>
          <w:rFonts w:ascii="Arial" w:hAnsi="Arial" w:cs="Arial"/>
          <w:color w:val="000000"/>
          <w:sz w:val="22"/>
          <w:szCs w:val="22"/>
        </w:rPr>
        <w:t>De acordo com as orientações da</w:t>
      </w:r>
      <w:r w:rsidR="00080BF5" w:rsidRPr="0015334F">
        <w:rPr>
          <w:rFonts w:ascii="Arial" w:hAnsi="Arial" w:cs="Arial"/>
          <w:color w:val="000000"/>
          <w:sz w:val="22"/>
          <w:szCs w:val="22"/>
        </w:rPr>
        <w:t xml:space="preserve"> </w:t>
      </w:r>
      <w:r w:rsidRPr="0015334F">
        <w:rPr>
          <w:rFonts w:ascii="Arial" w:hAnsi="Arial" w:cs="Arial"/>
          <w:color w:val="000000"/>
          <w:sz w:val="22"/>
          <w:szCs w:val="22"/>
        </w:rPr>
        <w:t>CRH</w:t>
      </w:r>
      <w:r w:rsidR="00486F80">
        <w:rPr>
          <w:rFonts w:ascii="Arial" w:hAnsi="Arial" w:cs="Arial"/>
          <w:color w:val="000000"/>
          <w:sz w:val="22"/>
          <w:szCs w:val="22"/>
        </w:rPr>
        <w:t>I</w:t>
      </w:r>
      <w:r w:rsidRPr="0015334F">
        <w:rPr>
          <w:rFonts w:ascii="Arial" w:hAnsi="Arial" w:cs="Arial"/>
          <w:color w:val="000000"/>
          <w:sz w:val="22"/>
          <w:szCs w:val="22"/>
        </w:rPr>
        <w:t>/S</w:t>
      </w:r>
      <w:r w:rsidR="00E521CC" w:rsidRPr="0015334F">
        <w:rPr>
          <w:rFonts w:ascii="Arial" w:hAnsi="Arial" w:cs="Arial"/>
          <w:color w:val="000000"/>
          <w:sz w:val="22"/>
          <w:szCs w:val="22"/>
        </w:rPr>
        <w:t>S</w:t>
      </w:r>
      <w:r w:rsidR="0015334F" w:rsidRPr="0015334F">
        <w:rPr>
          <w:rFonts w:ascii="Arial" w:hAnsi="Arial" w:cs="Arial"/>
          <w:color w:val="000000"/>
          <w:sz w:val="22"/>
          <w:szCs w:val="22"/>
        </w:rPr>
        <w:t>RH</w:t>
      </w:r>
      <w:r w:rsidRPr="0015334F">
        <w:rPr>
          <w:rFonts w:ascii="Arial" w:hAnsi="Arial" w:cs="Arial"/>
          <w:color w:val="000000"/>
          <w:sz w:val="22"/>
          <w:szCs w:val="22"/>
        </w:rPr>
        <w:t>, o</w:t>
      </w:r>
      <w:r w:rsidRPr="0015334F">
        <w:rPr>
          <w:rFonts w:ascii="Arial" w:hAnsi="Arial" w:cs="Arial"/>
          <w:sz w:val="22"/>
          <w:szCs w:val="22"/>
        </w:rPr>
        <w:t xml:space="preserve"> Relatório de Situação dos Recursos Hídricos da Bacia Hidrográfica dos rios Sapucaí Mirim/Grande segue </w:t>
      </w:r>
      <w:r w:rsidR="008932F7" w:rsidRPr="0015334F">
        <w:rPr>
          <w:rFonts w:ascii="Arial" w:hAnsi="Arial" w:cs="Arial"/>
          <w:sz w:val="22"/>
          <w:szCs w:val="22"/>
        </w:rPr>
        <w:t xml:space="preserve">o formato </w:t>
      </w:r>
      <w:r w:rsidRPr="0015334F">
        <w:rPr>
          <w:rFonts w:ascii="Arial" w:hAnsi="Arial" w:cs="Arial"/>
          <w:sz w:val="22"/>
          <w:szCs w:val="22"/>
        </w:rPr>
        <w:t>utilizad</w:t>
      </w:r>
      <w:r w:rsidR="008932F7" w:rsidRPr="0015334F">
        <w:rPr>
          <w:rFonts w:ascii="Arial" w:hAnsi="Arial" w:cs="Arial"/>
          <w:sz w:val="22"/>
          <w:szCs w:val="22"/>
        </w:rPr>
        <w:t>o</w:t>
      </w:r>
      <w:r w:rsidRPr="0015334F">
        <w:rPr>
          <w:rFonts w:ascii="Arial" w:hAnsi="Arial" w:cs="Arial"/>
          <w:sz w:val="22"/>
          <w:szCs w:val="22"/>
        </w:rPr>
        <w:t xml:space="preserve"> no relatório anterior (2010 – ano base 2009), ou seja</w:t>
      </w:r>
      <w:r w:rsidR="00E521CC" w:rsidRPr="0015334F">
        <w:rPr>
          <w:rFonts w:ascii="Arial" w:hAnsi="Arial" w:cs="Arial"/>
          <w:sz w:val="22"/>
          <w:szCs w:val="22"/>
        </w:rPr>
        <w:t>,</w:t>
      </w:r>
      <w:r w:rsidRPr="0015334F">
        <w:rPr>
          <w:rFonts w:ascii="Arial" w:hAnsi="Arial" w:cs="Arial"/>
          <w:sz w:val="22"/>
          <w:szCs w:val="22"/>
        </w:rPr>
        <w:t xml:space="preserve"> </w:t>
      </w:r>
      <w:r w:rsidRPr="0015334F">
        <w:rPr>
          <w:rFonts w:ascii="Arial" w:hAnsi="Arial" w:cs="Arial"/>
          <w:b/>
          <w:sz w:val="22"/>
          <w:szCs w:val="22"/>
        </w:rPr>
        <w:t>relatório simples</w:t>
      </w:r>
      <w:r w:rsidRPr="0015334F">
        <w:rPr>
          <w:rFonts w:ascii="Arial" w:hAnsi="Arial" w:cs="Arial"/>
          <w:sz w:val="22"/>
          <w:szCs w:val="22"/>
        </w:rPr>
        <w:t>,</w:t>
      </w:r>
      <w:r w:rsidR="00E521CC" w:rsidRPr="0015334F">
        <w:rPr>
          <w:rFonts w:ascii="Arial" w:hAnsi="Arial" w:cs="Arial"/>
          <w:sz w:val="22"/>
          <w:szCs w:val="22"/>
        </w:rPr>
        <w:t xml:space="preserve"> para ob</w:t>
      </w:r>
      <w:r w:rsidR="008932F7" w:rsidRPr="0015334F">
        <w:rPr>
          <w:rFonts w:ascii="Arial" w:hAnsi="Arial" w:cs="Arial"/>
          <w:sz w:val="22"/>
          <w:szCs w:val="22"/>
        </w:rPr>
        <w:t>e</w:t>
      </w:r>
      <w:r w:rsidR="00E521CC" w:rsidRPr="0015334F">
        <w:rPr>
          <w:rFonts w:ascii="Arial" w:hAnsi="Arial" w:cs="Arial"/>
          <w:sz w:val="22"/>
          <w:szCs w:val="22"/>
        </w:rPr>
        <w:t>decer o pro</w:t>
      </w:r>
      <w:r w:rsidR="008932F7" w:rsidRPr="0015334F">
        <w:rPr>
          <w:rFonts w:ascii="Arial" w:hAnsi="Arial" w:cs="Arial"/>
          <w:sz w:val="22"/>
          <w:szCs w:val="22"/>
        </w:rPr>
        <w:t>c</w:t>
      </w:r>
      <w:r w:rsidR="00E521CC" w:rsidRPr="0015334F">
        <w:rPr>
          <w:rFonts w:ascii="Arial" w:hAnsi="Arial" w:cs="Arial"/>
          <w:sz w:val="22"/>
          <w:szCs w:val="22"/>
        </w:rPr>
        <w:t xml:space="preserve">esso de elaboração dos Planos de Bacias, </w:t>
      </w:r>
      <w:r w:rsidRPr="0015334F">
        <w:rPr>
          <w:rFonts w:ascii="Arial" w:hAnsi="Arial" w:cs="Arial"/>
          <w:sz w:val="22"/>
          <w:szCs w:val="22"/>
        </w:rPr>
        <w:t xml:space="preserve">uma vez que ficou estabelecido em 2010, que </w:t>
      </w:r>
      <w:r w:rsidRPr="0015334F">
        <w:rPr>
          <w:rFonts w:ascii="Arial" w:hAnsi="Arial" w:cs="Arial"/>
          <w:noProof/>
          <w:sz w:val="22"/>
          <w:szCs w:val="22"/>
        </w:rPr>
        <w:t>o relatório de situação das bacias hidrográficas será elaborado em dois formatos intercalados ano a ano, um relatório denominado</w:t>
      </w:r>
      <w:r w:rsidRPr="0015334F">
        <w:rPr>
          <w:rFonts w:ascii="Arial" w:hAnsi="Arial" w:cs="Arial"/>
          <w:b/>
          <w:i/>
          <w:noProof/>
          <w:sz w:val="22"/>
          <w:szCs w:val="22"/>
        </w:rPr>
        <w:t xml:space="preserve"> </w:t>
      </w:r>
      <w:r w:rsidRPr="0015334F">
        <w:rPr>
          <w:rFonts w:ascii="Arial" w:hAnsi="Arial" w:cs="Arial"/>
          <w:b/>
          <w:noProof/>
          <w:sz w:val="22"/>
          <w:szCs w:val="22"/>
        </w:rPr>
        <w:t xml:space="preserve">simples </w:t>
      </w:r>
      <w:r w:rsidRPr="0015334F">
        <w:rPr>
          <w:rFonts w:ascii="Arial" w:hAnsi="Arial" w:cs="Arial"/>
          <w:noProof/>
          <w:sz w:val="22"/>
          <w:szCs w:val="22"/>
        </w:rPr>
        <w:t>e um</w:t>
      </w:r>
      <w:r w:rsidRPr="0015334F">
        <w:rPr>
          <w:rFonts w:ascii="Arial" w:hAnsi="Arial" w:cs="Arial"/>
          <w:b/>
          <w:noProof/>
          <w:sz w:val="22"/>
          <w:szCs w:val="22"/>
        </w:rPr>
        <w:t xml:space="preserve"> completo</w:t>
      </w:r>
      <w:r w:rsidRPr="0015334F">
        <w:rPr>
          <w:rFonts w:ascii="Arial" w:hAnsi="Arial" w:cs="Arial"/>
          <w:noProof/>
          <w:sz w:val="22"/>
          <w:szCs w:val="22"/>
        </w:rPr>
        <w:t xml:space="preserve">. </w:t>
      </w:r>
      <w:r w:rsidR="008932F7" w:rsidRPr="0015334F">
        <w:rPr>
          <w:rFonts w:ascii="Arial" w:hAnsi="Arial" w:cs="Arial"/>
          <w:noProof/>
          <w:sz w:val="22"/>
          <w:szCs w:val="22"/>
        </w:rPr>
        <w:t>O formato simples constitui de um relatório básico onde são publicadas a análise dos indicadores, tendencias, áreas críticas e demais aspectos relevantes para a gestão.</w:t>
      </w:r>
    </w:p>
    <w:p w:rsidR="00C7498B" w:rsidRDefault="00C7498B" w:rsidP="00C7498B">
      <w:pPr>
        <w:pStyle w:val="Corpodetexto"/>
        <w:spacing w:line="360" w:lineRule="auto"/>
        <w:ind w:firstLine="360"/>
        <w:rPr>
          <w:rFonts w:ascii="Arial" w:hAnsi="Arial" w:cs="Arial"/>
          <w:sz w:val="22"/>
          <w:szCs w:val="22"/>
        </w:rPr>
      </w:pPr>
      <w:r w:rsidRPr="0015334F">
        <w:rPr>
          <w:rFonts w:ascii="Arial" w:hAnsi="Arial" w:cs="Arial"/>
          <w:noProof/>
          <w:sz w:val="22"/>
          <w:szCs w:val="22"/>
        </w:rPr>
        <w:t>Como</w:t>
      </w:r>
      <w:r w:rsidRPr="0015334F">
        <w:rPr>
          <w:rFonts w:ascii="Arial" w:hAnsi="Arial" w:cs="Arial"/>
          <w:sz w:val="22"/>
          <w:szCs w:val="22"/>
        </w:rPr>
        <w:t xml:space="preserve"> resultado há uma proposta tecnicamente justificada para cada variável e fichas explicativas para cada parâmetro, o que permitiu uma analise mais objetiva das condicionantes que refletem a qualidade e disponibilidade das águas na Bacia Hidrográfica</w:t>
      </w:r>
      <w:r w:rsidR="008932F7" w:rsidRPr="0015334F">
        <w:rPr>
          <w:rFonts w:ascii="Arial" w:hAnsi="Arial" w:cs="Arial"/>
          <w:sz w:val="22"/>
          <w:szCs w:val="22"/>
        </w:rPr>
        <w:t xml:space="preserve"> dos rios Sapucaí Mirim/Grande.</w:t>
      </w:r>
    </w:p>
    <w:p w:rsidR="00C7498B" w:rsidRPr="0015334F" w:rsidRDefault="00C7498B" w:rsidP="00C7498B">
      <w:pPr>
        <w:pStyle w:val="Corpodetexto2"/>
        <w:spacing w:after="0" w:line="360" w:lineRule="auto"/>
        <w:jc w:val="both"/>
        <w:rPr>
          <w:rFonts w:eastAsia="TimesNewRomanPS-ItalicMT" w:cs="Arial"/>
          <w:iCs/>
          <w:color w:val="000000"/>
          <w:sz w:val="22"/>
          <w:szCs w:val="22"/>
        </w:rPr>
      </w:pPr>
      <w:r w:rsidRPr="0015334F">
        <w:rPr>
          <w:rFonts w:cs="Arial"/>
          <w:color w:val="000000"/>
          <w:sz w:val="22"/>
          <w:szCs w:val="22"/>
        </w:rPr>
        <w:t xml:space="preserve">     Nos anos anteriores o Relatório de Situação do</w:t>
      </w:r>
      <w:r w:rsidR="008932F7" w:rsidRPr="0015334F">
        <w:rPr>
          <w:rFonts w:cs="Arial"/>
          <w:color w:val="000000"/>
          <w:sz w:val="22"/>
          <w:szCs w:val="22"/>
        </w:rPr>
        <w:t>s</w:t>
      </w:r>
      <w:r w:rsidRPr="0015334F">
        <w:rPr>
          <w:rFonts w:cs="Arial"/>
          <w:color w:val="000000"/>
          <w:sz w:val="22"/>
          <w:szCs w:val="22"/>
        </w:rPr>
        <w:t xml:space="preserve"> Recursos Hídricos era elaborado pela CT-PLAGRHI (Câmara Técnica de Planejamento </w:t>
      </w:r>
      <w:r w:rsidR="008932F7" w:rsidRPr="0015334F">
        <w:rPr>
          <w:rFonts w:cs="Arial"/>
          <w:color w:val="000000"/>
          <w:sz w:val="22"/>
          <w:szCs w:val="22"/>
        </w:rPr>
        <w:t xml:space="preserve">e Gestão </w:t>
      </w:r>
      <w:r w:rsidRPr="0015334F">
        <w:rPr>
          <w:rFonts w:cs="Arial"/>
          <w:color w:val="000000"/>
          <w:sz w:val="22"/>
          <w:szCs w:val="22"/>
        </w:rPr>
        <w:t xml:space="preserve">dos Recursos Hídricos), observando-se então a importância do Relatório de </w:t>
      </w:r>
      <w:r w:rsidR="008932F7" w:rsidRPr="0015334F">
        <w:rPr>
          <w:rFonts w:cs="Arial"/>
          <w:color w:val="000000"/>
          <w:sz w:val="22"/>
          <w:szCs w:val="22"/>
        </w:rPr>
        <w:t>S</w:t>
      </w:r>
      <w:r w:rsidRPr="0015334F">
        <w:rPr>
          <w:rFonts w:cs="Arial"/>
          <w:color w:val="000000"/>
          <w:sz w:val="22"/>
          <w:szCs w:val="22"/>
        </w:rPr>
        <w:t xml:space="preserve">ituação para a bacia hidrográfica dos </w:t>
      </w:r>
      <w:r w:rsidRPr="0015334F">
        <w:rPr>
          <w:rFonts w:cs="Arial"/>
          <w:color w:val="000000"/>
          <w:sz w:val="22"/>
          <w:szCs w:val="22"/>
        </w:rPr>
        <w:lastRenderedPageBreak/>
        <w:t xml:space="preserve">rios Sapucaí- Mirim/Grande como instrumento de gestão dos recursos hídricos, concluiu-se a necessidade de institucionalizar um grupo de trabalho permanente, então através da deliberação CBH/SMG </w:t>
      </w:r>
      <w:r w:rsidR="008932F7" w:rsidRPr="0015334F">
        <w:rPr>
          <w:rFonts w:cs="Arial"/>
          <w:color w:val="000000"/>
          <w:sz w:val="22"/>
          <w:szCs w:val="22"/>
        </w:rPr>
        <w:t xml:space="preserve">nº </w:t>
      </w:r>
      <w:r w:rsidRPr="0015334F">
        <w:rPr>
          <w:rFonts w:cs="Arial"/>
          <w:color w:val="000000"/>
          <w:sz w:val="22"/>
          <w:szCs w:val="22"/>
        </w:rPr>
        <w:t>187/11</w:t>
      </w:r>
      <w:r w:rsidR="008932F7" w:rsidRPr="0015334F">
        <w:rPr>
          <w:rFonts w:cs="Arial"/>
          <w:color w:val="000000"/>
          <w:sz w:val="22"/>
          <w:szCs w:val="22"/>
        </w:rPr>
        <w:t xml:space="preserve"> de </w:t>
      </w:r>
      <w:r w:rsidR="00080BF5" w:rsidRPr="0015334F">
        <w:rPr>
          <w:rFonts w:cs="Arial"/>
          <w:color w:val="000000"/>
          <w:sz w:val="22"/>
          <w:szCs w:val="22"/>
        </w:rPr>
        <w:t>14</w:t>
      </w:r>
      <w:r w:rsidR="008932F7" w:rsidRPr="0015334F">
        <w:rPr>
          <w:rFonts w:cs="Arial"/>
          <w:color w:val="000000"/>
          <w:sz w:val="22"/>
          <w:szCs w:val="22"/>
        </w:rPr>
        <w:t>/</w:t>
      </w:r>
      <w:r w:rsidR="00080BF5" w:rsidRPr="0015334F">
        <w:rPr>
          <w:rFonts w:cs="Arial"/>
          <w:color w:val="000000"/>
          <w:sz w:val="22"/>
          <w:szCs w:val="22"/>
        </w:rPr>
        <w:t>03</w:t>
      </w:r>
      <w:r w:rsidR="008932F7" w:rsidRPr="0015334F">
        <w:rPr>
          <w:rFonts w:cs="Arial"/>
          <w:color w:val="000000"/>
          <w:sz w:val="22"/>
          <w:szCs w:val="22"/>
        </w:rPr>
        <w:t>/</w:t>
      </w:r>
      <w:r w:rsidR="00080BF5" w:rsidRPr="0015334F">
        <w:rPr>
          <w:rFonts w:cs="Arial"/>
          <w:color w:val="000000"/>
          <w:sz w:val="22"/>
          <w:szCs w:val="22"/>
        </w:rPr>
        <w:t>2011</w:t>
      </w:r>
      <w:r w:rsidRPr="0015334F">
        <w:rPr>
          <w:rFonts w:cs="Arial"/>
          <w:color w:val="000000"/>
          <w:sz w:val="22"/>
          <w:szCs w:val="22"/>
        </w:rPr>
        <w:t xml:space="preserve">, foi aprovada a criação do Grupo de Trabalho para Elaboração do Relatório Anual de Situação dos </w:t>
      </w:r>
      <w:r w:rsidRPr="0015334F">
        <w:rPr>
          <w:rFonts w:eastAsia="TimesNewRomanPS-ItalicMT" w:cs="Arial"/>
          <w:iCs/>
          <w:color w:val="000000"/>
          <w:sz w:val="22"/>
          <w:szCs w:val="22"/>
        </w:rPr>
        <w:t>Recursos Hídricos do Comitê da Bacia Hidrográfica dos rios Sapucaí Mirim/Grande (GT-RS).</w:t>
      </w:r>
    </w:p>
    <w:p w:rsidR="00554CC4" w:rsidRPr="0015334F" w:rsidRDefault="00C7498B" w:rsidP="0015334F">
      <w:pPr>
        <w:pStyle w:val="Corpodetexto2"/>
        <w:spacing w:after="0" w:line="360" w:lineRule="auto"/>
        <w:jc w:val="both"/>
        <w:rPr>
          <w:rFonts w:cs="Arial"/>
          <w:sz w:val="22"/>
          <w:szCs w:val="22"/>
        </w:rPr>
      </w:pPr>
      <w:r w:rsidRPr="0015334F">
        <w:rPr>
          <w:rFonts w:cs="Arial"/>
          <w:sz w:val="22"/>
          <w:szCs w:val="22"/>
        </w:rPr>
        <w:t xml:space="preserve">       O Grupo de Trabalho é formado por cinco representantes para cada um dos segmentos: Sociedade Civil, Estado e Municípios, e </w:t>
      </w:r>
      <w:r w:rsidR="008932F7" w:rsidRPr="0015334F">
        <w:rPr>
          <w:rFonts w:cs="Arial"/>
          <w:sz w:val="22"/>
          <w:szCs w:val="22"/>
        </w:rPr>
        <w:t xml:space="preserve">seus </w:t>
      </w:r>
      <w:r w:rsidRPr="0015334F">
        <w:rPr>
          <w:rFonts w:cs="Arial"/>
          <w:sz w:val="22"/>
          <w:szCs w:val="22"/>
        </w:rPr>
        <w:t>respectivos suplentes. Compete ao GT- RS elaborar o Relatório de Situação Anual dos Recursos Hídricos, com conteúdo compatível com a finalidade e elementos que caracterizam o Plano de Bacia do CBH-SMG, segundo orientações propostas pela Coordenadoria de Recursos Hídricos</w:t>
      </w:r>
      <w:r w:rsidR="00080BF5" w:rsidRPr="0015334F">
        <w:rPr>
          <w:rFonts w:cs="Arial"/>
          <w:sz w:val="22"/>
          <w:szCs w:val="22"/>
        </w:rPr>
        <w:t xml:space="preserve">. </w:t>
      </w:r>
    </w:p>
    <w:p w:rsidR="00A7054A" w:rsidRPr="0015334F" w:rsidRDefault="00A7054A">
      <w:pPr>
        <w:rPr>
          <w:rFonts w:ascii="Arial" w:hAnsi="Arial" w:cs="Arial"/>
          <w:sz w:val="22"/>
          <w:szCs w:val="22"/>
        </w:rPr>
      </w:pPr>
    </w:p>
    <w:p w:rsidR="00A7054A" w:rsidRPr="0015334F" w:rsidRDefault="00A7054A">
      <w:pPr>
        <w:rPr>
          <w:rFonts w:ascii="Arial" w:hAnsi="Arial" w:cs="Arial"/>
        </w:rPr>
      </w:pPr>
    </w:p>
    <w:p w:rsidR="00A7054A" w:rsidRPr="0015334F" w:rsidRDefault="00A7054A">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Default="0015334F">
      <w:pPr>
        <w:rPr>
          <w:rFonts w:ascii="Arial" w:hAnsi="Arial" w:cs="Arial"/>
        </w:rPr>
      </w:pPr>
    </w:p>
    <w:p w:rsidR="0015334F" w:rsidRPr="0015334F" w:rsidRDefault="0015334F">
      <w:pPr>
        <w:rPr>
          <w:rFonts w:ascii="Arial" w:hAnsi="Arial" w:cs="Arial"/>
        </w:rPr>
      </w:pPr>
    </w:p>
    <w:p w:rsidR="0015334F" w:rsidRPr="0015334F" w:rsidRDefault="0015334F">
      <w:pPr>
        <w:rPr>
          <w:rFonts w:ascii="Arial" w:hAnsi="Arial" w:cs="Arial"/>
        </w:rPr>
      </w:pPr>
    </w:p>
    <w:p w:rsidR="0015334F" w:rsidRPr="0015334F" w:rsidRDefault="0015334F">
      <w:pPr>
        <w:rPr>
          <w:rFonts w:ascii="Arial" w:hAnsi="Arial" w:cs="Arial"/>
        </w:rPr>
      </w:pPr>
    </w:p>
    <w:p w:rsidR="0015334F" w:rsidRPr="0015334F" w:rsidRDefault="0015334F">
      <w:pPr>
        <w:rPr>
          <w:rFonts w:ascii="Arial" w:hAnsi="Arial" w:cs="Arial"/>
        </w:rPr>
      </w:pPr>
    </w:p>
    <w:p w:rsidR="0015334F" w:rsidRPr="0015334F" w:rsidRDefault="0015334F">
      <w:pPr>
        <w:rPr>
          <w:rFonts w:ascii="Arial" w:hAnsi="Arial" w:cs="Arial"/>
        </w:rPr>
      </w:pPr>
    </w:p>
    <w:p w:rsidR="0015334F" w:rsidRDefault="0015334F">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Default="00ED18F2">
      <w:pPr>
        <w:rPr>
          <w:rFonts w:ascii="Arial" w:hAnsi="Arial" w:cs="Arial"/>
        </w:rPr>
      </w:pPr>
    </w:p>
    <w:p w:rsidR="00ED18F2" w:rsidRPr="0015334F" w:rsidRDefault="00ED18F2">
      <w:pPr>
        <w:rPr>
          <w:rFonts w:ascii="Arial" w:hAnsi="Arial" w:cs="Arial"/>
        </w:rPr>
      </w:pPr>
    </w:p>
    <w:p w:rsidR="0015334F" w:rsidRPr="0015334F" w:rsidRDefault="0015334F">
      <w:pPr>
        <w:rPr>
          <w:rFonts w:ascii="Arial" w:hAnsi="Arial" w:cs="Arial"/>
        </w:rPr>
      </w:pPr>
    </w:p>
    <w:p w:rsidR="0015334F" w:rsidRPr="0015334F" w:rsidRDefault="0015334F" w:rsidP="0015334F">
      <w:pPr>
        <w:pStyle w:val="Corpodetexto2"/>
        <w:numPr>
          <w:ilvl w:val="0"/>
          <w:numId w:val="1"/>
        </w:numPr>
        <w:spacing w:after="0" w:line="360" w:lineRule="auto"/>
        <w:jc w:val="both"/>
        <w:rPr>
          <w:rFonts w:cs="Arial"/>
          <w:b/>
          <w:bCs/>
          <w:sz w:val="22"/>
          <w:szCs w:val="22"/>
        </w:rPr>
      </w:pPr>
      <w:r w:rsidRPr="0015334F">
        <w:rPr>
          <w:rFonts w:cs="Arial"/>
          <w:b/>
          <w:bCs/>
          <w:sz w:val="22"/>
          <w:szCs w:val="22"/>
        </w:rPr>
        <w:lastRenderedPageBreak/>
        <w:t>CARACTERÍSTICAS GERAIS DA UGRHI – O8</w:t>
      </w:r>
    </w:p>
    <w:p w:rsidR="0015334F" w:rsidRPr="0015334F" w:rsidRDefault="0015334F" w:rsidP="0015334F">
      <w:pPr>
        <w:pStyle w:val="Corpodetexto"/>
        <w:spacing w:line="360" w:lineRule="auto"/>
        <w:ind w:left="720"/>
        <w:rPr>
          <w:rFonts w:ascii="Arial" w:hAnsi="Arial" w:cs="Arial"/>
          <w:b/>
          <w:bCs/>
          <w:sz w:val="20"/>
          <w:szCs w:val="20"/>
        </w:rPr>
      </w:pPr>
    </w:p>
    <w:tbl>
      <w:tblPr>
        <w:tblW w:w="968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7740"/>
      </w:tblGrid>
      <w:tr w:rsidR="0015334F" w:rsidRPr="0015334F" w:rsidTr="0015334F">
        <w:trPr>
          <w:trHeight w:val="438"/>
        </w:trPr>
        <w:tc>
          <w:tcPr>
            <w:tcW w:w="1943" w:type="dxa"/>
            <w:vAlign w:val="center"/>
          </w:tcPr>
          <w:p w:rsidR="0015334F" w:rsidRPr="0015334F" w:rsidRDefault="0015334F" w:rsidP="00BE215F">
            <w:pPr>
              <w:pStyle w:val="Corpodetexto"/>
              <w:spacing w:before="120" w:line="360" w:lineRule="auto"/>
              <w:jc w:val="center"/>
              <w:rPr>
                <w:rFonts w:ascii="Arial" w:hAnsi="Arial" w:cs="Arial"/>
                <w:b/>
                <w:bCs/>
                <w:sz w:val="20"/>
                <w:szCs w:val="20"/>
              </w:rPr>
            </w:pPr>
            <w:r w:rsidRPr="0015334F">
              <w:rPr>
                <w:rFonts w:ascii="Arial" w:hAnsi="Arial" w:cs="Arial"/>
                <w:b/>
                <w:bCs/>
                <w:sz w:val="20"/>
                <w:szCs w:val="20"/>
              </w:rPr>
              <w:t xml:space="preserve">Área </w:t>
            </w:r>
          </w:p>
        </w:tc>
        <w:tc>
          <w:tcPr>
            <w:tcW w:w="7740" w:type="dxa"/>
            <w:vAlign w:val="center"/>
          </w:tcPr>
          <w:p w:rsidR="0015334F" w:rsidRPr="0015334F" w:rsidRDefault="0015334F" w:rsidP="00BE215F">
            <w:pPr>
              <w:pStyle w:val="Corpodetexto"/>
              <w:spacing w:before="120" w:line="360" w:lineRule="auto"/>
              <w:jc w:val="center"/>
              <w:rPr>
                <w:rFonts w:ascii="Arial" w:hAnsi="Arial" w:cs="Arial"/>
                <w:bCs/>
                <w:sz w:val="20"/>
                <w:szCs w:val="20"/>
              </w:rPr>
            </w:pPr>
            <w:r w:rsidRPr="0015334F">
              <w:rPr>
                <w:rFonts w:ascii="Arial" w:hAnsi="Arial" w:cs="Arial"/>
                <w:bCs/>
                <w:sz w:val="20"/>
                <w:szCs w:val="20"/>
              </w:rPr>
              <w:t>9.907, 10 Km² (SEADE, 2010)</w:t>
            </w:r>
          </w:p>
        </w:tc>
      </w:tr>
      <w:tr w:rsidR="0015334F" w:rsidRPr="0015334F" w:rsidTr="0015334F">
        <w:trPr>
          <w:trHeight w:val="1175"/>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rPr>
              <w:t>Localização</w:t>
            </w:r>
          </w:p>
        </w:tc>
        <w:tc>
          <w:tcPr>
            <w:tcW w:w="7740" w:type="dxa"/>
            <w:vAlign w:val="center"/>
          </w:tcPr>
          <w:p w:rsidR="0015334F" w:rsidRPr="0015334F" w:rsidRDefault="0015334F" w:rsidP="00BE215F">
            <w:pPr>
              <w:spacing w:before="120" w:line="360" w:lineRule="auto"/>
              <w:jc w:val="center"/>
              <w:rPr>
                <w:rFonts w:ascii="Arial" w:hAnsi="Arial" w:cs="Arial"/>
                <w:sz w:val="20"/>
                <w:szCs w:val="20"/>
              </w:rPr>
            </w:pPr>
            <w:r w:rsidRPr="0015334F">
              <w:rPr>
                <w:rFonts w:ascii="Arial" w:hAnsi="Arial" w:cs="Arial"/>
                <w:sz w:val="20"/>
                <w:szCs w:val="20"/>
              </w:rPr>
              <w:t>A Bacia Hidrográfica dos rios Sapucaí-Mirim/Grande localiza-se no Nordeste do Estado de São Paulo, tem como limítrofes, a sul-sudeste, a UGRHI 04 (Pardo) e, a oeste, a UGRHI 12 (Baixo Pardo/Grande).</w:t>
            </w:r>
          </w:p>
        </w:tc>
      </w:tr>
      <w:tr w:rsidR="0015334F" w:rsidRPr="0015334F" w:rsidTr="0015334F">
        <w:trPr>
          <w:trHeight w:val="1175"/>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rPr>
              <w:t>Municípios com sede na UGRHI-08</w:t>
            </w:r>
          </w:p>
        </w:tc>
        <w:tc>
          <w:tcPr>
            <w:tcW w:w="7740" w:type="dxa"/>
            <w:vAlign w:val="center"/>
          </w:tcPr>
          <w:p w:rsidR="0015334F" w:rsidRPr="0015334F" w:rsidRDefault="0015334F" w:rsidP="00BE215F">
            <w:pPr>
              <w:spacing w:before="120" w:line="360" w:lineRule="auto"/>
              <w:jc w:val="center"/>
              <w:rPr>
                <w:rFonts w:ascii="Arial" w:hAnsi="Arial" w:cs="Arial"/>
                <w:b/>
                <w:bCs/>
                <w:sz w:val="20"/>
                <w:szCs w:val="20"/>
              </w:rPr>
            </w:pPr>
            <w:r w:rsidRPr="0015334F">
              <w:rPr>
                <w:rFonts w:ascii="Arial" w:hAnsi="Arial" w:cs="Arial"/>
                <w:sz w:val="20"/>
                <w:szCs w:val="20"/>
              </w:rPr>
              <w:t>Aramina; Batatais; Buritizal; Cristais Paulista; Franca; Guaíra; Guará; Igarapava; Ipuã; Itirapuã; Ituverava; Jeriquara; Miguelópolis; Nuporanga; Patrocínio Paulista; Pedregulho; Restinga; Ribeirão Corrente; Rifaina; Santo Antônio da Alegria; São Joaquim da Barra; São José da Bela Vista.</w:t>
            </w:r>
          </w:p>
        </w:tc>
      </w:tr>
      <w:tr w:rsidR="0015334F" w:rsidRPr="0015334F" w:rsidTr="0015334F">
        <w:trPr>
          <w:trHeight w:val="774"/>
        </w:trPr>
        <w:tc>
          <w:tcPr>
            <w:tcW w:w="1943" w:type="dxa"/>
            <w:vAlign w:val="center"/>
          </w:tcPr>
          <w:p w:rsidR="0015334F" w:rsidRPr="0015334F" w:rsidRDefault="0015334F" w:rsidP="00BE215F">
            <w:pPr>
              <w:spacing w:before="120" w:line="360" w:lineRule="auto"/>
              <w:jc w:val="center"/>
              <w:rPr>
                <w:rFonts w:ascii="Arial" w:hAnsi="Arial" w:cs="Arial"/>
                <w:b/>
                <w:bCs/>
                <w:sz w:val="16"/>
                <w:szCs w:val="16"/>
              </w:rPr>
            </w:pPr>
            <w:r w:rsidRPr="0015334F">
              <w:rPr>
                <w:rFonts w:ascii="Arial" w:hAnsi="Arial" w:cs="Arial"/>
                <w:b/>
                <w:bCs/>
                <w:sz w:val="16"/>
                <w:szCs w:val="16"/>
              </w:rPr>
              <w:t>Municípios com sede fora da UGRHI-08</w:t>
            </w:r>
          </w:p>
        </w:tc>
        <w:tc>
          <w:tcPr>
            <w:tcW w:w="7740" w:type="dxa"/>
            <w:vAlign w:val="center"/>
          </w:tcPr>
          <w:p w:rsidR="0015334F" w:rsidRPr="0015334F" w:rsidRDefault="0015334F" w:rsidP="00DD668E">
            <w:pPr>
              <w:jc w:val="center"/>
              <w:rPr>
                <w:rFonts w:ascii="Arial" w:hAnsi="Arial" w:cs="Arial"/>
                <w:sz w:val="20"/>
                <w:szCs w:val="20"/>
              </w:rPr>
            </w:pPr>
            <w:r w:rsidRPr="0015334F">
              <w:rPr>
                <w:rFonts w:ascii="Arial" w:hAnsi="Arial" w:cs="Arial"/>
                <w:sz w:val="20"/>
                <w:szCs w:val="20"/>
              </w:rPr>
              <w:t>Altinópolis</w:t>
            </w:r>
            <w:r w:rsidR="00DD668E">
              <w:rPr>
                <w:rFonts w:ascii="Arial" w:hAnsi="Arial" w:cs="Arial"/>
                <w:sz w:val="20"/>
                <w:szCs w:val="20"/>
              </w:rPr>
              <w:t xml:space="preserve">, </w:t>
            </w:r>
            <w:r w:rsidRPr="0015334F">
              <w:rPr>
                <w:rFonts w:ascii="Arial" w:hAnsi="Arial" w:cs="Arial"/>
                <w:sz w:val="20"/>
                <w:szCs w:val="20"/>
              </w:rPr>
              <w:t>Orlândia</w:t>
            </w:r>
            <w:r w:rsidR="00DD668E">
              <w:rPr>
                <w:rFonts w:ascii="Arial" w:hAnsi="Arial" w:cs="Arial"/>
                <w:sz w:val="20"/>
                <w:szCs w:val="20"/>
              </w:rPr>
              <w:t xml:space="preserve"> e Cássia dos Coqueiros</w:t>
            </w:r>
            <w:r w:rsidRPr="0015334F">
              <w:rPr>
                <w:rFonts w:ascii="Arial" w:hAnsi="Arial" w:cs="Arial"/>
                <w:sz w:val="20"/>
                <w:szCs w:val="20"/>
              </w:rPr>
              <w:t>.</w:t>
            </w:r>
          </w:p>
        </w:tc>
      </w:tr>
      <w:tr w:rsidR="0015334F" w:rsidRPr="0015334F" w:rsidTr="0015334F">
        <w:trPr>
          <w:trHeight w:val="518"/>
        </w:trPr>
        <w:tc>
          <w:tcPr>
            <w:tcW w:w="1943" w:type="dxa"/>
            <w:vAlign w:val="center"/>
          </w:tcPr>
          <w:p w:rsidR="0015334F" w:rsidRPr="0015334F" w:rsidRDefault="0015334F" w:rsidP="00BE215F">
            <w:pPr>
              <w:spacing w:before="120" w:line="360" w:lineRule="auto"/>
              <w:jc w:val="center"/>
              <w:rPr>
                <w:rFonts w:ascii="Arial" w:hAnsi="Arial" w:cs="Arial"/>
                <w:b/>
                <w:bCs/>
                <w:sz w:val="20"/>
                <w:szCs w:val="20"/>
                <w:lang w:val="en-US"/>
              </w:rPr>
            </w:pPr>
            <w:r w:rsidRPr="0015334F">
              <w:rPr>
                <w:rFonts w:ascii="Arial" w:hAnsi="Arial" w:cs="Arial"/>
                <w:b/>
                <w:bCs/>
                <w:sz w:val="20"/>
                <w:szCs w:val="20"/>
                <w:lang w:val="en-US"/>
              </w:rPr>
              <w:t>População</w:t>
            </w:r>
          </w:p>
        </w:tc>
        <w:tc>
          <w:tcPr>
            <w:tcW w:w="7740" w:type="dxa"/>
            <w:vAlign w:val="center"/>
          </w:tcPr>
          <w:p w:rsidR="0015334F" w:rsidRPr="0015334F" w:rsidRDefault="0015334F" w:rsidP="00BE215F">
            <w:pPr>
              <w:jc w:val="center"/>
              <w:rPr>
                <w:rFonts w:ascii="Arial" w:hAnsi="Arial" w:cs="Arial"/>
                <w:b/>
                <w:bCs/>
                <w:sz w:val="20"/>
                <w:szCs w:val="20"/>
              </w:rPr>
            </w:pPr>
            <w:r w:rsidRPr="0015334F">
              <w:rPr>
                <w:rFonts w:ascii="Arial" w:hAnsi="Arial" w:cs="Arial"/>
                <w:sz w:val="20"/>
                <w:szCs w:val="20"/>
                <w:lang w:val="en-US"/>
              </w:rPr>
              <w:t>669.998 habitantes (SEADE, 2010)</w:t>
            </w:r>
          </w:p>
        </w:tc>
      </w:tr>
      <w:tr w:rsidR="0015334F" w:rsidRPr="0015334F" w:rsidTr="0015334F">
        <w:trPr>
          <w:trHeight w:val="852"/>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lang w:val="en-US"/>
              </w:rPr>
              <w:t>Disponibilidade Hídrica</w:t>
            </w:r>
          </w:p>
        </w:tc>
        <w:tc>
          <w:tcPr>
            <w:tcW w:w="7740" w:type="dxa"/>
            <w:vAlign w:val="center"/>
          </w:tcPr>
          <w:p w:rsidR="0015334F" w:rsidRPr="0015334F" w:rsidRDefault="0015334F" w:rsidP="00BE215F">
            <w:pPr>
              <w:spacing w:before="120" w:line="360" w:lineRule="auto"/>
              <w:jc w:val="center"/>
              <w:rPr>
                <w:rFonts w:ascii="Arial" w:hAnsi="Arial" w:cs="Arial"/>
                <w:sz w:val="20"/>
                <w:szCs w:val="20"/>
              </w:rPr>
            </w:pPr>
            <w:r w:rsidRPr="0015334F">
              <w:rPr>
                <w:rFonts w:ascii="Arial" w:hAnsi="Arial" w:cs="Arial"/>
                <w:sz w:val="20"/>
                <w:szCs w:val="20"/>
              </w:rPr>
              <w:t>Vazão média: 147,00 m³/s (Plano da Bacia, CPTI 2008)</w:t>
            </w:r>
          </w:p>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sz w:val="20"/>
                <w:szCs w:val="20"/>
              </w:rPr>
              <w:t>Vazão mínima: 28,45 m³/s (Plano da Bacia, CPTI 2008)</w:t>
            </w:r>
          </w:p>
        </w:tc>
      </w:tr>
      <w:tr w:rsidR="0015334F" w:rsidRPr="0015334F" w:rsidTr="0015334F">
        <w:trPr>
          <w:trHeight w:val="1595"/>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lang w:val="en-US"/>
              </w:rPr>
              <w:t>Principais rios e reservatórios</w:t>
            </w:r>
          </w:p>
        </w:tc>
        <w:tc>
          <w:tcPr>
            <w:tcW w:w="7740" w:type="dxa"/>
            <w:vAlign w:val="center"/>
          </w:tcPr>
          <w:p w:rsidR="0015334F" w:rsidRPr="0015334F" w:rsidRDefault="0015334F" w:rsidP="00BE215F">
            <w:pPr>
              <w:spacing w:before="120" w:line="360" w:lineRule="auto"/>
              <w:jc w:val="both"/>
              <w:rPr>
                <w:rFonts w:ascii="Arial" w:hAnsi="Arial" w:cs="Arial"/>
                <w:sz w:val="20"/>
                <w:szCs w:val="20"/>
              </w:rPr>
            </w:pPr>
            <w:r w:rsidRPr="0015334F">
              <w:rPr>
                <w:rFonts w:ascii="Arial" w:hAnsi="Arial" w:cs="Arial"/>
                <w:sz w:val="20"/>
                <w:szCs w:val="20"/>
              </w:rPr>
              <w:t>Rio Sapucaí- Mirim, Rio Canoas, Rio do Carmo, Rio Grande e Ribeirão dos Bagres.</w:t>
            </w:r>
          </w:p>
          <w:p w:rsidR="0015334F" w:rsidRPr="0015334F" w:rsidRDefault="0015334F" w:rsidP="00BE215F">
            <w:pPr>
              <w:spacing w:before="120" w:line="360" w:lineRule="auto"/>
              <w:jc w:val="both"/>
              <w:rPr>
                <w:rFonts w:ascii="Arial" w:hAnsi="Arial" w:cs="Arial"/>
                <w:b/>
                <w:bCs/>
                <w:sz w:val="20"/>
                <w:szCs w:val="20"/>
              </w:rPr>
            </w:pPr>
            <w:r w:rsidRPr="0015334F">
              <w:rPr>
                <w:rFonts w:ascii="Arial" w:hAnsi="Arial" w:cs="Arial"/>
                <w:sz w:val="20"/>
                <w:szCs w:val="20"/>
              </w:rPr>
              <w:t>Reservatórios: No Rio Grande, destacamos as Usinas de Peixoto (FURNAS), Jaguara, Igarapava e Volta Grande (pertencentes à CEMIG) e em fase experimental Usina Anhanguera (CEBAND).  No Rio do Carmo, Usina Buritis (CPFL) e no Rio Sapucaí -Mirim: Esmeril, Dourados, São Joaquim e Monjolinho (CPTI/IPT 2008).</w:t>
            </w:r>
            <w:r w:rsidRPr="0015334F">
              <w:rPr>
                <w:rFonts w:ascii="Arial" w:hAnsi="Arial" w:cs="Arial"/>
                <w:b/>
                <w:sz w:val="20"/>
                <w:szCs w:val="20"/>
              </w:rPr>
              <w:t xml:space="preserve"> </w:t>
            </w:r>
          </w:p>
        </w:tc>
      </w:tr>
      <w:tr w:rsidR="0015334F" w:rsidRPr="0015334F" w:rsidTr="0015334F">
        <w:trPr>
          <w:trHeight w:val="1571"/>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lang w:val="en-US"/>
              </w:rPr>
              <w:t>Principais atividades econômicas</w:t>
            </w:r>
          </w:p>
        </w:tc>
        <w:tc>
          <w:tcPr>
            <w:tcW w:w="7740" w:type="dxa"/>
            <w:vAlign w:val="center"/>
          </w:tcPr>
          <w:p w:rsidR="0015334F" w:rsidRPr="0015334F" w:rsidRDefault="0015334F" w:rsidP="00BE215F">
            <w:pPr>
              <w:spacing w:before="120" w:line="360" w:lineRule="auto"/>
              <w:jc w:val="both"/>
              <w:rPr>
                <w:rFonts w:ascii="Arial" w:hAnsi="Arial" w:cs="Arial"/>
                <w:sz w:val="20"/>
                <w:szCs w:val="20"/>
              </w:rPr>
            </w:pPr>
            <w:r w:rsidRPr="0015334F">
              <w:rPr>
                <w:rFonts w:ascii="Arial" w:hAnsi="Arial" w:cs="Arial"/>
                <w:sz w:val="20"/>
                <w:szCs w:val="20"/>
              </w:rPr>
              <w:t>A indústria calçadista de Franca destaca-se como uma das maiores do país, com grande produção para exportação. Distingue-se também a indústria alimentícia, principalmente de laticínios, além do crescente número de loteamentos. Na agricultura predomina os cultivos da braquiária, cana-de-açúcar e soja.</w:t>
            </w:r>
          </w:p>
        </w:tc>
      </w:tr>
      <w:tr w:rsidR="0015334F" w:rsidRPr="0015334F" w:rsidTr="0015334F">
        <w:trPr>
          <w:trHeight w:val="3270"/>
        </w:trPr>
        <w:tc>
          <w:tcPr>
            <w:tcW w:w="1943" w:type="dxa"/>
            <w:vAlign w:val="center"/>
          </w:tcPr>
          <w:p w:rsidR="0015334F" w:rsidRPr="0015334F" w:rsidRDefault="0015334F" w:rsidP="00BE215F">
            <w:pPr>
              <w:spacing w:line="360" w:lineRule="auto"/>
              <w:jc w:val="center"/>
              <w:rPr>
                <w:rFonts w:ascii="Arial" w:hAnsi="Arial" w:cs="Arial"/>
                <w:b/>
                <w:bCs/>
                <w:sz w:val="20"/>
                <w:szCs w:val="20"/>
              </w:rPr>
            </w:pPr>
            <w:r w:rsidRPr="0015334F">
              <w:rPr>
                <w:rFonts w:ascii="Arial" w:hAnsi="Arial" w:cs="Arial"/>
                <w:b/>
                <w:bCs/>
                <w:sz w:val="20"/>
                <w:szCs w:val="20"/>
              </w:rPr>
              <w:t>Vegetação remanescente e Unidades de Conservação</w:t>
            </w:r>
          </w:p>
        </w:tc>
        <w:tc>
          <w:tcPr>
            <w:tcW w:w="7740" w:type="dxa"/>
            <w:vAlign w:val="center"/>
          </w:tcPr>
          <w:p w:rsidR="0015334F" w:rsidRPr="0015334F" w:rsidRDefault="0015334F" w:rsidP="00BE215F">
            <w:pPr>
              <w:spacing w:before="120" w:line="360" w:lineRule="auto"/>
              <w:jc w:val="both"/>
              <w:rPr>
                <w:rFonts w:ascii="Arial" w:hAnsi="Arial" w:cs="Arial"/>
                <w:sz w:val="20"/>
                <w:szCs w:val="20"/>
              </w:rPr>
            </w:pPr>
            <w:r w:rsidRPr="0015334F">
              <w:rPr>
                <w:rFonts w:ascii="Arial" w:hAnsi="Arial" w:cs="Arial"/>
                <w:sz w:val="20"/>
                <w:szCs w:val="20"/>
              </w:rPr>
              <w:t>A vegetação natural remanescente desta UGRHI encontra-se extremamente fragmentada, perfazendo em 1,8% de sua área, com vegetação natural composta pela Floresta Estacional Semidecidual e Estacional em contato com Savana, formação Arbórea, Savana Florestada e Arborizada. Duas Unidades de Conservação estão no âmbito Estadual na UGRHI: Parque Estadual Furnas do Bom Jesus no município de Pedregulho e Floresta Estadual de Batatais, em Batatais.</w:t>
            </w:r>
          </w:p>
          <w:p w:rsidR="0015334F" w:rsidRPr="0015334F" w:rsidRDefault="0015334F" w:rsidP="00BE215F">
            <w:pPr>
              <w:spacing w:before="120" w:line="360" w:lineRule="auto"/>
              <w:jc w:val="both"/>
              <w:rPr>
                <w:rFonts w:ascii="Arial" w:hAnsi="Arial" w:cs="Arial"/>
                <w:sz w:val="20"/>
                <w:szCs w:val="20"/>
              </w:rPr>
            </w:pPr>
            <w:r w:rsidRPr="0015334F">
              <w:rPr>
                <w:rFonts w:ascii="Arial" w:hAnsi="Arial" w:cs="Arial"/>
                <w:sz w:val="20"/>
                <w:szCs w:val="20"/>
              </w:rPr>
              <w:t>No âmbito municipal temos cinco unidades: Jardim Zoobotânico e APA do rio Canoas, Parque Ecológico Municipal Dr. João Roberto Correa, em Franca, Estação de Zoobotânica, em Guará e Horto Florestal em Cristais Paulista.</w:t>
            </w:r>
          </w:p>
        </w:tc>
      </w:tr>
    </w:tbl>
    <w:p w:rsidR="0015334F" w:rsidRPr="0015334F" w:rsidRDefault="0015334F" w:rsidP="0015334F">
      <w:pPr>
        <w:pStyle w:val="Corpodetexto"/>
        <w:spacing w:line="360" w:lineRule="auto"/>
        <w:ind w:left="720"/>
        <w:rPr>
          <w:rFonts w:ascii="Arial" w:hAnsi="Arial" w:cs="Arial"/>
          <w:b/>
          <w:bCs/>
          <w:sz w:val="20"/>
          <w:szCs w:val="20"/>
        </w:rPr>
      </w:pPr>
    </w:p>
    <w:p w:rsidR="00E9746A" w:rsidRDefault="00E9746A" w:rsidP="0015334F">
      <w:pPr>
        <w:pStyle w:val="Corpodetexto"/>
        <w:spacing w:line="360" w:lineRule="auto"/>
        <w:ind w:left="720"/>
        <w:rPr>
          <w:rFonts w:ascii="Arial" w:hAnsi="Arial" w:cs="Arial"/>
          <w:b/>
          <w:bCs/>
          <w:sz w:val="20"/>
          <w:szCs w:val="20"/>
        </w:rPr>
        <w:sectPr w:rsidR="00E9746A" w:rsidSect="00FD063D">
          <w:headerReference w:type="default" r:id="rId12"/>
          <w:footerReference w:type="default" r:id="rId13"/>
          <w:pgSz w:w="11906" w:h="16838"/>
          <w:pgMar w:top="1417" w:right="991" w:bottom="1417" w:left="1701" w:header="283" w:footer="340" w:gutter="0"/>
          <w:cols w:space="708"/>
          <w:titlePg/>
          <w:docGrid w:linePitch="360"/>
        </w:sectPr>
      </w:pPr>
    </w:p>
    <w:p w:rsidR="0015334F" w:rsidRPr="0015334F" w:rsidRDefault="004865DB" w:rsidP="004865DB">
      <w:pPr>
        <w:pStyle w:val="Corpodetexto"/>
        <w:tabs>
          <w:tab w:val="left" w:pos="567"/>
        </w:tabs>
        <w:spacing w:line="360" w:lineRule="auto"/>
        <w:ind w:left="720"/>
        <w:rPr>
          <w:rFonts w:ascii="Arial" w:hAnsi="Arial" w:cs="Arial"/>
          <w:b/>
          <w:bCs/>
          <w:sz w:val="20"/>
          <w:szCs w:val="20"/>
        </w:rPr>
      </w:pPr>
      <w:r>
        <w:rPr>
          <w:rFonts w:ascii="Arial" w:hAnsi="Arial" w:cs="Arial"/>
          <w:b/>
          <w:bCs/>
          <w:sz w:val="20"/>
          <w:szCs w:val="20"/>
        </w:rPr>
        <w:lastRenderedPageBreak/>
        <w:tab/>
      </w:r>
    </w:p>
    <w:p w:rsidR="00DD668E" w:rsidRDefault="00DD668E" w:rsidP="0015334F">
      <w:pPr>
        <w:pStyle w:val="Recuodecorpodetexto2"/>
        <w:ind w:firstLine="709"/>
        <w:rPr>
          <w:rFonts w:ascii="Arial" w:hAnsi="Arial" w:cs="Arial"/>
          <w:b/>
          <w:color w:val="000000"/>
          <w:sz w:val="18"/>
          <w:szCs w:val="18"/>
        </w:rPr>
      </w:pPr>
    </w:p>
    <w:p w:rsidR="00DD668E" w:rsidRDefault="008E0DDB" w:rsidP="0015334F">
      <w:pPr>
        <w:pStyle w:val="Recuodecorpodetexto2"/>
        <w:ind w:firstLine="709"/>
        <w:rPr>
          <w:rFonts w:ascii="Arial" w:hAnsi="Arial" w:cs="Arial"/>
          <w:b/>
          <w:color w:val="000000"/>
          <w:sz w:val="18"/>
          <w:szCs w:val="18"/>
        </w:rPr>
      </w:pPr>
      <w:r w:rsidRPr="008E0DDB">
        <w:rPr>
          <w:rFonts w:ascii="Arial" w:hAnsi="Arial" w:cs="Arial"/>
          <w:noProof/>
          <w:sz w:val="20"/>
          <w:szCs w:val="20"/>
          <w:lang w:eastAsia="en-US"/>
        </w:rPr>
        <w:pict>
          <v:shape id="_x0000_s1464" type="#_x0000_t202" style="position:absolute;left:0;text-align:left;margin-left:92.1pt;margin-top:2.25pt;width:310.8pt;height:229.4pt;z-index:251896320;mso-width-relative:margin;mso-height-relative:margin">
            <v:textbox>
              <w:txbxContent>
                <w:p w:rsidR="00E92D98" w:rsidRDefault="00E92D98">
                  <w:r w:rsidRPr="00DD668E">
                    <w:rPr>
                      <w:noProof/>
                    </w:rPr>
                    <w:drawing>
                      <wp:inline distT="0" distB="0" distL="0" distR="0">
                        <wp:extent cx="3786626" cy="2700669"/>
                        <wp:effectExtent l="19050" t="0" r="4324" b="0"/>
                        <wp:docPr id="1" name="Imagem 43489418" descr="comites de ba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s de bacias.png"/>
                                <pic:cNvPicPr/>
                              </pic:nvPicPr>
                              <pic:blipFill>
                                <a:blip r:embed="rId14" cstate="print"/>
                                <a:stretch>
                                  <a:fillRect/>
                                </a:stretch>
                              </pic:blipFill>
                              <pic:spPr>
                                <a:xfrm>
                                  <a:off x="0" y="0"/>
                                  <a:ext cx="3788782" cy="2702207"/>
                                </a:xfrm>
                                <a:prstGeom prst="rect">
                                  <a:avLst/>
                                </a:prstGeom>
                              </pic:spPr>
                            </pic:pic>
                          </a:graphicData>
                        </a:graphic>
                      </wp:inline>
                    </w:drawing>
                  </w:r>
                </w:p>
              </w:txbxContent>
            </v:textbox>
          </v:shape>
        </w:pict>
      </w: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DD668E" w:rsidRDefault="00DD668E" w:rsidP="0015334F">
      <w:pPr>
        <w:pStyle w:val="Recuodecorpodetexto2"/>
        <w:ind w:firstLine="709"/>
        <w:rPr>
          <w:rFonts w:ascii="Arial" w:hAnsi="Arial" w:cs="Arial"/>
          <w:b/>
          <w:color w:val="000000"/>
          <w:sz w:val="18"/>
          <w:szCs w:val="18"/>
        </w:rPr>
      </w:pPr>
    </w:p>
    <w:p w:rsidR="00253875" w:rsidRDefault="00253875" w:rsidP="00253875">
      <w:pPr>
        <w:pStyle w:val="Recuodecorpodetexto2"/>
        <w:ind w:left="1415" w:firstLine="1"/>
        <w:rPr>
          <w:rFonts w:ascii="Arial" w:hAnsi="Arial" w:cs="Arial"/>
          <w:b/>
          <w:color w:val="000000"/>
          <w:sz w:val="18"/>
          <w:szCs w:val="18"/>
        </w:rPr>
      </w:pPr>
    </w:p>
    <w:p w:rsidR="00D52CEF" w:rsidRDefault="004865DB" w:rsidP="00253875">
      <w:pPr>
        <w:pStyle w:val="Recuodecorpodetexto2"/>
        <w:ind w:left="1415" w:firstLine="1"/>
        <w:rPr>
          <w:rFonts w:ascii="Arial" w:hAnsi="Arial" w:cs="Arial"/>
          <w:sz w:val="20"/>
          <w:szCs w:val="20"/>
        </w:rPr>
      </w:pPr>
      <w:r w:rsidRPr="0015334F">
        <w:rPr>
          <w:rFonts w:ascii="Arial" w:hAnsi="Arial" w:cs="Arial"/>
          <w:b/>
          <w:color w:val="000000"/>
          <w:sz w:val="18"/>
          <w:szCs w:val="18"/>
        </w:rPr>
        <w:t xml:space="preserve">Figura </w:t>
      </w:r>
      <w:r>
        <w:rPr>
          <w:rFonts w:ascii="Arial" w:hAnsi="Arial" w:cs="Arial"/>
          <w:b/>
          <w:color w:val="000000"/>
          <w:sz w:val="18"/>
          <w:szCs w:val="18"/>
        </w:rPr>
        <w:t>2</w:t>
      </w:r>
      <w:r w:rsidRPr="0015334F">
        <w:rPr>
          <w:rFonts w:ascii="Arial" w:hAnsi="Arial" w:cs="Arial"/>
          <w:color w:val="000000"/>
          <w:sz w:val="18"/>
          <w:szCs w:val="18"/>
        </w:rPr>
        <w:t xml:space="preserve">. </w:t>
      </w:r>
      <w:r>
        <w:rPr>
          <w:rFonts w:ascii="Arial" w:hAnsi="Arial" w:cs="Arial"/>
          <w:color w:val="000000"/>
          <w:sz w:val="18"/>
          <w:szCs w:val="18"/>
        </w:rPr>
        <w:t>Localização do UGRHI Sapucaí Mirim/Grande no estado de São Paulo</w:t>
      </w:r>
      <w:r w:rsidR="00BE215F">
        <w:rPr>
          <w:rFonts w:ascii="Arial" w:hAnsi="Arial" w:cs="Arial"/>
          <w:color w:val="000000"/>
          <w:sz w:val="18"/>
          <w:szCs w:val="18"/>
        </w:rPr>
        <w:t>.</w:t>
      </w:r>
    </w:p>
    <w:p w:rsidR="004865DB" w:rsidRDefault="008E0DDB" w:rsidP="0015334F">
      <w:pPr>
        <w:pStyle w:val="Recuodecorpodetexto2"/>
        <w:ind w:firstLine="709"/>
        <w:rPr>
          <w:rFonts w:ascii="Arial" w:hAnsi="Arial" w:cs="Arial"/>
          <w:sz w:val="20"/>
          <w:szCs w:val="20"/>
        </w:rPr>
      </w:pPr>
      <w:r>
        <w:rPr>
          <w:rFonts w:ascii="Arial" w:hAnsi="Arial" w:cs="Arial"/>
          <w:noProof/>
          <w:sz w:val="20"/>
          <w:szCs w:val="20"/>
          <w:lang w:eastAsia="en-US"/>
        </w:rPr>
        <w:pict>
          <v:shape id="_x0000_s1465" type="#_x0000_t202" style="position:absolute;left:0;text-align:left;margin-left:92.1pt;margin-top:14.9pt;width:312.8pt;height:297.75pt;z-index:251898368;mso-width-relative:margin;mso-height-relative:margin">
            <v:textbox>
              <w:txbxContent>
                <w:p w:rsidR="00E92D98" w:rsidRDefault="00E92D98">
                  <w:r w:rsidRPr="00253875">
                    <w:rPr>
                      <w:noProof/>
                    </w:rPr>
                    <w:drawing>
                      <wp:inline distT="0" distB="0" distL="0" distR="0">
                        <wp:extent cx="3524250" cy="3746146"/>
                        <wp:effectExtent l="19050" t="0" r="0" b="0"/>
                        <wp:docPr id="16" name="Imagem 43489414" descr="municipios e sub bacias da UGRHI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 e sub bacias da UGRHI 08.png"/>
                                <pic:cNvPicPr/>
                              </pic:nvPicPr>
                              <pic:blipFill>
                                <a:blip r:embed="rId15" cstate="print"/>
                                <a:stretch>
                                  <a:fillRect/>
                                </a:stretch>
                              </pic:blipFill>
                              <pic:spPr>
                                <a:xfrm>
                                  <a:off x="0" y="0"/>
                                  <a:ext cx="3536666" cy="3759344"/>
                                </a:xfrm>
                                <a:prstGeom prst="rect">
                                  <a:avLst/>
                                </a:prstGeom>
                              </pic:spPr>
                            </pic:pic>
                          </a:graphicData>
                        </a:graphic>
                      </wp:inline>
                    </w:drawing>
                  </w:r>
                </w:p>
              </w:txbxContent>
            </v:textbox>
          </v:shape>
        </w:pict>
      </w:r>
    </w:p>
    <w:p w:rsidR="004865DB" w:rsidRDefault="004865DB" w:rsidP="0015334F">
      <w:pPr>
        <w:pStyle w:val="Recuodecorpodetexto2"/>
        <w:ind w:firstLine="709"/>
        <w:rPr>
          <w:rFonts w:ascii="Arial" w:hAnsi="Arial" w:cs="Arial"/>
          <w:sz w:val="20"/>
          <w:szCs w:val="20"/>
        </w:rPr>
      </w:pPr>
      <w:r>
        <w:rPr>
          <w:rFonts w:ascii="Arial" w:hAnsi="Arial" w:cs="Arial"/>
          <w:sz w:val="20"/>
          <w:szCs w:val="20"/>
        </w:rPr>
        <w:tab/>
      </w: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253875" w:rsidRDefault="00253875" w:rsidP="0015334F">
      <w:pPr>
        <w:pStyle w:val="Recuodecorpodetexto2"/>
        <w:ind w:firstLine="709"/>
        <w:rPr>
          <w:rFonts w:ascii="Arial" w:hAnsi="Arial" w:cs="Arial"/>
          <w:sz w:val="20"/>
          <w:szCs w:val="20"/>
        </w:rPr>
      </w:pPr>
    </w:p>
    <w:p w:rsidR="004865DB" w:rsidRDefault="004865DB" w:rsidP="004865DB">
      <w:pPr>
        <w:pStyle w:val="Recuodecorpodetexto2"/>
        <w:ind w:left="1415" w:firstLine="709"/>
        <w:rPr>
          <w:rFonts w:ascii="Arial" w:hAnsi="Arial" w:cs="Arial"/>
          <w:sz w:val="20"/>
          <w:szCs w:val="20"/>
        </w:rPr>
      </w:pPr>
    </w:p>
    <w:p w:rsidR="00253875" w:rsidRDefault="00253875" w:rsidP="004865DB">
      <w:pPr>
        <w:pStyle w:val="Recuodecorpodetexto2"/>
        <w:ind w:firstLine="709"/>
        <w:rPr>
          <w:rFonts w:ascii="Arial" w:hAnsi="Arial" w:cs="Arial"/>
          <w:b/>
          <w:color w:val="000000"/>
          <w:sz w:val="18"/>
          <w:szCs w:val="18"/>
        </w:rPr>
      </w:pPr>
    </w:p>
    <w:p w:rsidR="004865DB" w:rsidRDefault="004865DB" w:rsidP="00253875">
      <w:pPr>
        <w:pStyle w:val="Recuodecorpodetexto2"/>
        <w:ind w:left="707" w:firstLine="709"/>
        <w:rPr>
          <w:rFonts w:ascii="Arial" w:hAnsi="Arial" w:cs="Arial"/>
          <w:sz w:val="20"/>
          <w:szCs w:val="20"/>
        </w:rPr>
      </w:pPr>
      <w:r w:rsidRPr="0015334F">
        <w:rPr>
          <w:rFonts w:ascii="Arial" w:hAnsi="Arial" w:cs="Arial"/>
          <w:b/>
          <w:color w:val="000000"/>
          <w:sz w:val="18"/>
          <w:szCs w:val="18"/>
        </w:rPr>
        <w:t xml:space="preserve">Figura </w:t>
      </w:r>
      <w:r>
        <w:rPr>
          <w:rFonts w:ascii="Arial" w:hAnsi="Arial" w:cs="Arial"/>
          <w:b/>
          <w:color w:val="000000"/>
          <w:sz w:val="18"/>
          <w:szCs w:val="18"/>
        </w:rPr>
        <w:t>3</w:t>
      </w:r>
      <w:r w:rsidRPr="0015334F">
        <w:rPr>
          <w:rFonts w:ascii="Arial" w:hAnsi="Arial" w:cs="Arial"/>
          <w:color w:val="000000"/>
          <w:sz w:val="18"/>
          <w:szCs w:val="18"/>
        </w:rPr>
        <w:t xml:space="preserve">. </w:t>
      </w:r>
      <w:r>
        <w:rPr>
          <w:rFonts w:ascii="Arial" w:hAnsi="Arial" w:cs="Arial"/>
          <w:color w:val="000000"/>
          <w:sz w:val="18"/>
          <w:szCs w:val="18"/>
        </w:rPr>
        <w:t>Municípios e sub-bacias</w:t>
      </w:r>
      <w:r w:rsidR="00BE215F">
        <w:rPr>
          <w:rFonts w:ascii="Arial" w:hAnsi="Arial" w:cs="Arial"/>
          <w:color w:val="000000"/>
          <w:sz w:val="18"/>
          <w:szCs w:val="18"/>
        </w:rPr>
        <w:t xml:space="preserve"> que compõem a </w:t>
      </w:r>
      <w:r>
        <w:rPr>
          <w:rFonts w:ascii="Arial" w:hAnsi="Arial" w:cs="Arial"/>
          <w:color w:val="000000"/>
          <w:sz w:val="18"/>
          <w:szCs w:val="18"/>
        </w:rPr>
        <w:t>UGRHI 08.</w:t>
      </w:r>
    </w:p>
    <w:p w:rsidR="004865DB" w:rsidRDefault="004865DB" w:rsidP="0015334F">
      <w:pPr>
        <w:pStyle w:val="Recuodecorpodetexto2"/>
        <w:ind w:firstLine="709"/>
        <w:rPr>
          <w:rFonts w:ascii="Arial" w:hAnsi="Arial" w:cs="Arial"/>
          <w:sz w:val="20"/>
          <w:szCs w:val="20"/>
        </w:rPr>
      </w:pPr>
    </w:p>
    <w:p w:rsidR="004865DB" w:rsidRDefault="004865DB" w:rsidP="0015334F">
      <w:pPr>
        <w:pStyle w:val="Recuodecorpodetexto2"/>
        <w:ind w:firstLine="709"/>
        <w:rPr>
          <w:rFonts w:ascii="Arial" w:hAnsi="Arial" w:cs="Arial"/>
          <w:sz w:val="20"/>
          <w:szCs w:val="20"/>
        </w:rPr>
      </w:pPr>
    </w:p>
    <w:p w:rsidR="00E9746A" w:rsidRDefault="00E9746A" w:rsidP="0015334F">
      <w:pPr>
        <w:pStyle w:val="Recuodecorpodetexto2"/>
        <w:ind w:firstLine="709"/>
        <w:rPr>
          <w:rFonts w:ascii="Arial" w:hAnsi="Arial" w:cs="Arial"/>
          <w:sz w:val="20"/>
          <w:szCs w:val="20"/>
        </w:rPr>
      </w:pPr>
    </w:p>
    <w:p w:rsidR="00E9746A" w:rsidRDefault="00E9746A" w:rsidP="00E9746A">
      <w:pPr>
        <w:spacing w:line="360" w:lineRule="auto"/>
        <w:jc w:val="both"/>
        <w:rPr>
          <w:rFonts w:ascii="Arial" w:hAnsi="Arial" w:cs="Arial"/>
          <w:sz w:val="20"/>
          <w:szCs w:val="20"/>
        </w:rPr>
      </w:pPr>
      <w:r>
        <w:rPr>
          <w:rFonts w:ascii="Arial" w:hAnsi="Arial" w:cs="Arial"/>
          <w:sz w:val="20"/>
          <w:szCs w:val="20"/>
        </w:rPr>
        <w:t>O Comitê da Bacia Hidrográfica dos rios Sapucaí Mirim/Grande incentiva investimentos em recursos hídricos, principalmente financiados via FEHIDRO. São vários os exemplos dentro da bacia de empreendimentos já concluídos, como os que seguem:</w:t>
      </w:r>
    </w:p>
    <w:p w:rsidR="00E9746A"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Relacionados a Galerias de Águas Pluviais, já foram concluídas obras  nas prefeituras de Ribeirão Corrente, Ipuã, Itirapuã, Santo Antonio da Alegria e Cristais Paulista;</w:t>
      </w:r>
    </w:p>
    <w:p w:rsidR="00E9746A"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Relacionados a Estações de Tratamento de Esgotos, obras concluídas em bairros de Franca pela SABESP, nas prefeituras municipais de Santo Antonio da Alegria, Aramina, lagoa de tratamento de esgoto e interceptor de esgoto em São José da Bela Vista, projeto de ampliação da estação de tratamento e implantação de emissário de esgoto sanitário de Cristais Paulista, ETE de Santo Antonio da Alegria, implantação do sistema de esgotos sanitários de Aramina, ETE de Igarapava pela SABESP, afastamento e tratamento dos esgotos de Miguelópolis pela SABESP, afastamento e tratamento dos esgotos de Rifaina pela SABESP, emissário de esgoto bruto, estação elevatória e linha de recalque da prefeitura de Patrocinio Paulista, substituição do emissário e interceptor de esgoto em Batatais, c</w:t>
      </w:r>
      <w:r w:rsidRPr="000E6528">
        <w:rPr>
          <w:rFonts w:ascii="Arial" w:hAnsi="Arial" w:cs="Arial"/>
          <w:sz w:val="20"/>
          <w:szCs w:val="20"/>
        </w:rPr>
        <w:t xml:space="preserve">onstrução do </w:t>
      </w:r>
      <w:r>
        <w:rPr>
          <w:rFonts w:ascii="Arial" w:hAnsi="Arial" w:cs="Arial"/>
          <w:sz w:val="20"/>
          <w:szCs w:val="20"/>
        </w:rPr>
        <w:t>c</w:t>
      </w:r>
      <w:r w:rsidRPr="000E6528">
        <w:rPr>
          <w:rFonts w:ascii="Arial" w:hAnsi="Arial" w:cs="Arial"/>
          <w:sz w:val="20"/>
          <w:szCs w:val="20"/>
        </w:rPr>
        <w:t xml:space="preserve">oletor 1 do </w:t>
      </w:r>
      <w:r>
        <w:rPr>
          <w:rFonts w:ascii="Arial" w:hAnsi="Arial" w:cs="Arial"/>
          <w:sz w:val="20"/>
          <w:szCs w:val="20"/>
        </w:rPr>
        <w:t>p</w:t>
      </w:r>
      <w:r w:rsidRPr="000E6528">
        <w:rPr>
          <w:rFonts w:ascii="Arial" w:hAnsi="Arial" w:cs="Arial"/>
          <w:sz w:val="20"/>
          <w:szCs w:val="20"/>
        </w:rPr>
        <w:t>rojeto do Sistema de Afastamento e Tratamento dos Esgotos Sanitários de Ituverava</w:t>
      </w:r>
      <w:r>
        <w:rPr>
          <w:rFonts w:ascii="Arial" w:hAnsi="Arial" w:cs="Arial"/>
          <w:sz w:val="20"/>
          <w:szCs w:val="20"/>
        </w:rPr>
        <w:t>, c</w:t>
      </w:r>
      <w:r w:rsidRPr="000E6528">
        <w:rPr>
          <w:rFonts w:ascii="Arial" w:hAnsi="Arial" w:cs="Arial"/>
          <w:sz w:val="20"/>
          <w:szCs w:val="20"/>
        </w:rPr>
        <w:t>onstrução dos Emissários 1, 2 e 3 do projeto de Afastamento e Tratamento de Esgotos</w:t>
      </w:r>
      <w:r>
        <w:rPr>
          <w:rFonts w:ascii="Arial" w:hAnsi="Arial" w:cs="Arial"/>
          <w:sz w:val="20"/>
          <w:szCs w:val="20"/>
        </w:rPr>
        <w:t xml:space="preserve"> pelo SAAE de Ituverava;</w:t>
      </w:r>
    </w:p>
    <w:p w:rsidR="00E9746A"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Canalização de córregos, do córrego Mato Grosso em Altinópolis, drenagem e proteção do leito do Córrego Santa Rita em Igarapava, canalização do córrego Cascata em Pedregulho, do Buritis em Buritizal;</w:t>
      </w:r>
    </w:p>
    <w:p w:rsidR="00E9746A"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Nas redes de abastecimento de água -  recuperação e otimização da rede de água da prefeitura de Cristais Paulista, substituição da adutora de água pela prefeitura de Aramina, substituição e redimensionamento da rede de água de Santo Antonio da Alegria, recuperação da adutora, programa de controle de perdas e otimização da rede de abastecimento em Nuporanga, instalação de hidrômetros em São José da Bela Vista, substituição da adutora em Batatais;</w:t>
      </w:r>
    </w:p>
    <w:p w:rsidR="00E9746A"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A prefeitura municipal de Cristais Paulista teve um projeto de piscicultura  com um programa de repeixamento  dos córregos e rios da bacia, e em Santo Antonio da Alegria houve desassoreamento e piscicultura;</w:t>
      </w:r>
    </w:p>
    <w:p w:rsidR="00E9746A" w:rsidRPr="008A1D1C" w:rsidRDefault="00E9746A" w:rsidP="00E9746A">
      <w:pPr>
        <w:numPr>
          <w:ilvl w:val="0"/>
          <w:numId w:val="6"/>
        </w:numPr>
        <w:spacing w:line="360" w:lineRule="auto"/>
        <w:jc w:val="both"/>
        <w:rPr>
          <w:rFonts w:ascii="Arial" w:hAnsi="Arial" w:cs="Arial"/>
          <w:sz w:val="20"/>
          <w:szCs w:val="20"/>
        </w:rPr>
      </w:pPr>
      <w:r>
        <w:rPr>
          <w:rFonts w:ascii="Arial" w:hAnsi="Arial" w:cs="Arial"/>
          <w:sz w:val="20"/>
          <w:szCs w:val="20"/>
        </w:rPr>
        <w:t>A CETESB adquiriu um veiculo e equipamentos para monitoramento da qualidade das águas superficiais da UGRHI 08</w:t>
      </w:r>
    </w:p>
    <w:p w:rsidR="00E9746A" w:rsidRDefault="00E9746A" w:rsidP="0015334F">
      <w:pPr>
        <w:pStyle w:val="Recuodecorpodetexto2"/>
        <w:ind w:firstLine="709"/>
        <w:rPr>
          <w:rFonts w:ascii="Arial" w:hAnsi="Arial" w:cs="Arial"/>
          <w:sz w:val="20"/>
          <w:szCs w:val="20"/>
        </w:rPr>
      </w:pPr>
    </w:p>
    <w:p w:rsidR="00E9746A" w:rsidRDefault="00E9746A" w:rsidP="0015334F">
      <w:pPr>
        <w:pStyle w:val="Recuodecorpodetexto2"/>
        <w:ind w:firstLine="709"/>
        <w:rPr>
          <w:rFonts w:ascii="Arial" w:hAnsi="Arial" w:cs="Arial"/>
          <w:sz w:val="20"/>
          <w:szCs w:val="20"/>
        </w:rPr>
      </w:pPr>
    </w:p>
    <w:p w:rsidR="00E9746A" w:rsidRDefault="00E9746A" w:rsidP="0015334F">
      <w:pPr>
        <w:pStyle w:val="Recuodecorpodetexto2"/>
        <w:ind w:firstLine="709"/>
        <w:rPr>
          <w:rFonts w:ascii="Arial" w:hAnsi="Arial" w:cs="Arial"/>
          <w:sz w:val="20"/>
          <w:szCs w:val="20"/>
        </w:rPr>
      </w:pPr>
    </w:p>
    <w:p w:rsidR="00E9746A" w:rsidRDefault="00E9746A" w:rsidP="0015334F">
      <w:pPr>
        <w:pStyle w:val="Recuodecorpodetexto2"/>
        <w:ind w:firstLine="709"/>
        <w:rPr>
          <w:rFonts w:ascii="Arial" w:hAnsi="Arial" w:cs="Arial"/>
          <w:sz w:val="20"/>
          <w:szCs w:val="20"/>
        </w:rPr>
      </w:pPr>
    </w:p>
    <w:p w:rsidR="00CE1021" w:rsidRDefault="00CE1021" w:rsidP="0015334F">
      <w:pPr>
        <w:pStyle w:val="Recuodecorpodetexto2"/>
        <w:ind w:firstLine="709"/>
        <w:rPr>
          <w:rFonts w:ascii="Arial" w:hAnsi="Arial" w:cs="Arial"/>
          <w:sz w:val="20"/>
          <w:szCs w:val="20"/>
        </w:rPr>
      </w:pPr>
    </w:p>
    <w:p w:rsidR="00E9746A" w:rsidRDefault="00E9746A" w:rsidP="0015334F">
      <w:pPr>
        <w:pStyle w:val="Recuodecorpodetexto2"/>
        <w:ind w:firstLine="709"/>
        <w:rPr>
          <w:rFonts w:ascii="Arial" w:hAnsi="Arial" w:cs="Arial"/>
          <w:sz w:val="20"/>
          <w:szCs w:val="20"/>
        </w:rPr>
      </w:pPr>
    </w:p>
    <w:p w:rsidR="00E9746A" w:rsidRPr="00253875" w:rsidRDefault="00E9746A" w:rsidP="0015334F">
      <w:pPr>
        <w:pStyle w:val="Recuodecorpodetexto2"/>
        <w:ind w:firstLine="709"/>
        <w:rPr>
          <w:rFonts w:ascii="Arial" w:hAnsi="Arial" w:cs="Arial"/>
          <w:sz w:val="28"/>
          <w:szCs w:val="28"/>
        </w:rPr>
      </w:pPr>
    </w:p>
    <w:p w:rsidR="00BE215F" w:rsidRPr="00253875" w:rsidRDefault="00BE215F" w:rsidP="0015334F">
      <w:pPr>
        <w:pStyle w:val="PargrafodaLista"/>
        <w:numPr>
          <w:ilvl w:val="0"/>
          <w:numId w:val="1"/>
        </w:numPr>
        <w:rPr>
          <w:rFonts w:ascii="Arial" w:hAnsi="Arial" w:cs="Arial"/>
          <w:b/>
          <w:bCs/>
          <w:sz w:val="28"/>
          <w:szCs w:val="28"/>
        </w:rPr>
      </w:pPr>
      <w:r w:rsidRPr="00253875">
        <w:rPr>
          <w:rFonts w:ascii="Arial" w:hAnsi="Arial" w:cs="Arial"/>
          <w:b/>
          <w:bCs/>
          <w:sz w:val="28"/>
          <w:szCs w:val="28"/>
        </w:rPr>
        <w:t>Análise dos Indicadores</w:t>
      </w:r>
    </w:p>
    <w:p w:rsidR="00BE215F" w:rsidRPr="00253875" w:rsidRDefault="00BE215F" w:rsidP="00BE215F">
      <w:pPr>
        <w:rPr>
          <w:rFonts w:ascii="Arial" w:hAnsi="Arial" w:cs="Arial"/>
          <w:b/>
          <w:bCs/>
          <w:sz w:val="28"/>
          <w:szCs w:val="28"/>
        </w:rPr>
      </w:pPr>
    </w:p>
    <w:p w:rsidR="00BE215F" w:rsidRPr="00253875" w:rsidRDefault="00BE215F" w:rsidP="00BE215F">
      <w:pPr>
        <w:rPr>
          <w:rFonts w:ascii="Arial" w:hAnsi="Arial" w:cs="Arial"/>
          <w:b/>
          <w:bCs/>
          <w:sz w:val="28"/>
          <w:szCs w:val="28"/>
        </w:rPr>
      </w:pPr>
    </w:p>
    <w:p w:rsidR="00BE215F" w:rsidRPr="00253875" w:rsidRDefault="00BE215F" w:rsidP="00BE215F">
      <w:pPr>
        <w:rPr>
          <w:rFonts w:ascii="Arial" w:hAnsi="Arial" w:cs="Arial"/>
          <w:b/>
          <w:bCs/>
          <w:sz w:val="28"/>
          <w:szCs w:val="28"/>
        </w:rPr>
      </w:pPr>
    </w:p>
    <w:p w:rsidR="00BE215F" w:rsidRPr="00253875" w:rsidRDefault="00BE215F" w:rsidP="00BE215F">
      <w:pPr>
        <w:pStyle w:val="PargrafodaLista"/>
        <w:numPr>
          <w:ilvl w:val="0"/>
          <w:numId w:val="9"/>
        </w:numPr>
        <w:spacing w:line="480" w:lineRule="auto"/>
        <w:rPr>
          <w:rFonts w:ascii="Arial" w:hAnsi="Arial" w:cs="Arial"/>
          <w:b/>
          <w:bCs/>
          <w:sz w:val="28"/>
          <w:szCs w:val="28"/>
        </w:rPr>
      </w:pPr>
      <w:r w:rsidRPr="00253875">
        <w:rPr>
          <w:rFonts w:ascii="Arial" w:hAnsi="Arial" w:cs="Arial"/>
          <w:b/>
          <w:bCs/>
          <w:sz w:val="28"/>
          <w:szCs w:val="28"/>
        </w:rPr>
        <w:t>Força Motriz</w:t>
      </w:r>
    </w:p>
    <w:p w:rsidR="00BE215F" w:rsidRPr="00253875" w:rsidRDefault="00BE215F" w:rsidP="00BE215F">
      <w:pPr>
        <w:pStyle w:val="PargrafodaLista"/>
        <w:numPr>
          <w:ilvl w:val="0"/>
          <w:numId w:val="9"/>
        </w:numPr>
        <w:spacing w:line="480" w:lineRule="auto"/>
        <w:rPr>
          <w:rFonts w:ascii="Arial" w:hAnsi="Arial" w:cs="Arial"/>
          <w:b/>
          <w:bCs/>
          <w:sz w:val="28"/>
          <w:szCs w:val="28"/>
        </w:rPr>
      </w:pPr>
      <w:r w:rsidRPr="00253875">
        <w:rPr>
          <w:rFonts w:ascii="Arial" w:hAnsi="Arial" w:cs="Arial"/>
          <w:b/>
          <w:bCs/>
          <w:sz w:val="28"/>
          <w:szCs w:val="28"/>
        </w:rPr>
        <w:t>Estado</w:t>
      </w:r>
    </w:p>
    <w:p w:rsidR="00BE215F" w:rsidRPr="00253875" w:rsidRDefault="00BE215F" w:rsidP="00BE215F">
      <w:pPr>
        <w:pStyle w:val="PargrafodaLista"/>
        <w:numPr>
          <w:ilvl w:val="0"/>
          <w:numId w:val="9"/>
        </w:numPr>
        <w:spacing w:line="480" w:lineRule="auto"/>
        <w:rPr>
          <w:rFonts w:ascii="Arial" w:hAnsi="Arial" w:cs="Arial"/>
          <w:b/>
          <w:bCs/>
          <w:sz w:val="28"/>
          <w:szCs w:val="28"/>
        </w:rPr>
      </w:pPr>
      <w:r w:rsidRPr="00253875">
        <w:rPr>
          <w:rFonts w:ascii="Arial" w:hAnsi="Arial" w:cs="Arial"/>
          <w:b/>
          <w:bCs/>
          <w:sz w:val="28"/>
          <w:szCs w:val="28"/>
        </w:rPr>
        <w:t>Pressão</w:t>
      </w:r>
    </w:p>
    <w:p w:rsidR="00BE215F" w:rsidRPr="00253875" w:rsidRDefault="00BE215F" w:rsidP="00BE215F">
      <w:pPr>
        <w:pStyle w:val="PargrafodaLista"/>
        <w:numPr>
          <w:ilvl w:val="0"/>
          <w:numId w:val="9"/>
        </w:numPr>
        <w:spacing w:line="480" w:lineRule="auto"/>
        <w:rPr>
          <w:rFonts w:ascii="Arial" w:hAnsi="Arial" w:cs="Arial"/>
          <w:b/>
          <w:bCs/>
          <w:sz w:val="28"/>
          <w:szCs w:val="28"/>
        </w:rPr>
      </w:pPr>
      <w:r w:rsidRPr="00253875">
        <w:rPr>
          <w:rFonts w:ascii="Arial" w:hAnsi="Arial" w:cs="Arial"/>
          <w:b/>
          <w:bCs/>
          <w:sz w:val="28"/>
          <w:szCs w:val="28"/>
        </w:rPr>
        <w:t>Resposta</w:t>
      </w:r>
    </w:p>
    <w:p w:rsidR="00BE215F" w:rsidRPr="00253875" w:rsidRDefault="00BE215F" w:rsidP="00BE215F">
      <w:pPr>
        <w:spacing w:line="480" w:lineRule="auto"/>
        <w:rPr>
          <w:rFonts w:ascii="Arial" w:hAnsi="Arial" w:cs="Arial"/>
          <w:b/>
          <w:bCs/>
          <w:sz w:val="28"/>
          <w:szCs w:val="28"/>
        </w:rPr>
      </w:pPr>
    </w:p>
    <w:p w:rsidR="00CE1021" w:rsidRPr="00253875" w:rsidRDefault="00CE1021" w:rsidP="00BE215F">
      <w:pPr>
        <w:spacing w:line="480" w:lineRule="auto"/>
        <w:rPr>
          <w:rFonts w:ascii="Arial" w:hAnsi="Arial" w:cs="Arial"/>
          <w:b/>
          <w:bCs/>
          <w:sz w:val="28"/>
          <w:szCs w:val="28"/>
        </w:rPr>
      </w:pPr>
    </w:p>
    <w:p w:rsidR="00CE1021" w:rsidRPr="00253875" w:rsidRDefault="00CE1021" w:rsidP="00BE215F">
      <w:pPr>
        <w:spacing w:line="480" w:lineRule="auto"/>
        <w:rPr>
          <w:rFonts w:ascii="Arial" w:hAnsi="Arial" w:cs="Arial"/>
          <w:b/>
          <w:bCs/>
          <w:sz w:val="28"/>
          <w:szCs w:val="28"/>
        </w:rPr>
      </w:pPr>
    </w:p>
    <w:p w:rsidR="00BE215F" w:rsidRDefault="00BE215F" w:rsidP="00BE215F">
      <w:pPr>
        <w:spacing w:line="480" w:lineRule="auto"/>
        <w:rPr>
          <w:rFonts w:ascii="Arial" w:hAnsi="Arial" w:cs="Arial"/>
          <w:b/>
          <w:bCs/>
          <w:sz w:val="22"/>
          <w:szCs w:val="22"/>
        </w:rPr>
      </w:pPr>
    </w:p>
    <w:p w:rsidR="00BE215F" w:rsidRDefault="00BE215F" w:rsidP="00BE215F">
      <w:pPr>
        <w:spacing w:line="480" w:lineRule="auto"/>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Pr="00253875" w:rsidRDefault="00253875" w:rsidP="00BE215F">
      <w:pPr>
        <w:rPr>
          <w:rFonts w:ascii="Arial" w:hAnsi="Arial" w:cs="Arial"/>
          <w:b/>
          <w:bCs/>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Default="00253875" w:rsidP="00BE215F">
      <w:pPr>
        <w:rPr>
          <w:rFonts w:ascii="Arial" w:hAnsi="Arial" w:cs="Arial"/>
          <w:b/>
          <w:bCs/>
          <w:sz w:val="22"/>
          <w:szCs w:val="22"/>
        </w:rPr>
      </w:pPr>
    </w:p>
    <w:p w:rsidR="00253875" w:rsidRPr="00253875" w:rsidRDefault="00253875" w:rsidP="00253875">
      <w:pPr>
        <w:jc w:val="right"/>
        <w:rPr>
          <w:rFonts w:ascii="Arial" w:hAnsi="Arial" w:cs="Arial"/>
          <w:b/>
          <w:bCs/>
          <w:sz w:val="28"/>
          <w:szCs w:val="28"/>
        </w:rPr>
      </w:pPr>
    </w:p>
    <w:p w:rsidR="00253875" w:rsidRPr="00253875" w:rsidRDefault="00253875" w:rsidP="00253875">
      <w:pPr>
        <w:pStyle w:val="PargrafodaLista"/>
        <w:numPr>
          <w:ilvl w:val="0"/>
          <w:numId w:val="10"/>
        </w:numPr>
        <w:jc w:val="right"/>
        <w:rPr>
          <w:rFonts w:ascii="Arial" w:hAnsi="Arial" w:cs="Arial"/>
          <w:b/>
          <w:bCs/>
          <w:sz w:val="28"/>
          <w:szCs w:val="28"/>
        </w:rPr>
      </w:pPr>
      <w:r w:rsidRPr="00253875">
        <w:rPr>
          <w:rFonts w:ascii="Arial" w:hAnsi="Arial" w:cs="Arial"/>
          <w:b/>
          <w:bCs/>
          <w:sz w:val="28"/>
          <w:szCs w:val="28"/>
        </w:rPr>
        <w:t>Força Motriz</w:t>
      </w:r>
    </w:p>
    <w:p w:rsidR="00BE215F" w:rsidRPr="00253875" w:rsidRDefault="00BE215F" w:rsidP="00253875">
      <w:pPr>
        <w:jc w:val="right"/>
        <w:rPr>
          <w:rFonts w:ascii="Arial" w:hAnsi="Arial" w:cs="Arial"/>
          <w:b/>
          <w:bCs/>
          <w:sz w:val="28"/>
          <w:szCs w:val="28"/>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CE1021" w:rsidRDefault="008E0DDB" w:rsidP="00CE1021">
      <w:pPr>
        <w:pStyle w:val="Corpodetexto"/>
        <w:spacing w:line="360" w:lineRule="auto"/>
        <w:rPr>
          <w:rFonts w:ascii="Arial" w:hAnsi="Arial" w:cs="Arial"/>
          <w:b/>
          <w:bCs/>
          <w:sz w:val="20"/>
          <w:szCs w:val="20"/>
        </w:rPr>
      </w:pPr>
      <w:r w:rsidRPr="008E0DDB">
        <w:rPr>
          <w:rFonts w:ascii="Arial" w:hAnsi="Arial" w:cs="Arial"/>
          <w:b/>
          <w:bCs/>
          <w:noProof/>
          <w:color w:val="943634"/>
          <w:sz w:val="20"/>
          <w:szCs w:val="20"/>
        </w:rPr>
        <w:pict>
          <v:shape id="_x0000_s1252" type="#_x0000_t202" style="position:absolute;left:0;text-align:left;margin-left:-21.25pt;margin-top:3.4pt;width:530.9pt;height:20.2pt;z-index:251708928;mso-width-relative:margin;mso-height-relative:margin" fillcolor="#d8d8d8" strokecolor="white">
            <v:textbox style="mso-next-textbox:#_x0000_s1252">
              <w:txbxContent>
                <w:p w:rsidR="00E92D98" w:rsidRDefault="00E92D98" w:rsidP="00CE1021">
                  <w:pPr>
                    <w:jc w:val="center"/>
                    <w:rPr>
                      <w:rFonts w:ascii="Arial" w:hAnsi="Arial" w:cs="Arial"/>
                      <w:b/>
                      <w:bCs/>
                      <w:color w:val="943634"/>
                      <w:sz w:val="20"/>
                      <w:szCs w:val="20"/>
                    </w:rPr>
                  </w:pPr>
                  <w:r w:rsidRPr="00BF0F80">
                    <w:rPr>
                      <w:rFonts w:ascii="Arial" w:hAnsi="Arial" w:cs="Arial"/>
                      <w:b/>
                      <w:bCs/>
                      <w:color w:val="943634"/>
                      <w:sz w:val="20"/>
                      <w:szCs w:val="20"/>
                    </w:rPr>
                    <w:t>FORÇA MOTRIZ: Dinâmica demográfica e social</w:t>
                  </w:r>
                </w:p>
                <w:p w:rsidR="00E92D98" w:rsidRPr="00826C1D" w:rsidRDefault="00E92D98" w:rsidP="00CE1021">
                  <w:pPr>
                    <w:rPr>
                      <w:szCs w:val="18"/>
                    </w:rPr>
                  </w:pPr>
                </w:p>
              </w:txbxContent>
            </v:textbox>
          </v:shape>
        </w:pict>
      </w:r>
    </w:p>
    <w:p w:rsidR="00CE1021" w:rsidRPr="00BF0F80" w:rsidRDefault="008E0DDB" w:rsidP="00CE1021">
      <w:pPr>
        <w:pStyle w:val="Corpodetexto"/>
        <w:spacing w:line="360" w:lineRule="auto"/>
        <w:rPr>
          <w:rFonts w:ascii="Arial" w:hAnsi="Arial" w:cs="Arial"/>
          <w:b/>
          <w:bCs/>
          <w:sz w:val="20"/>
          <w:szCs w:val="20"/>
        </w:rPr>
      </w:pPr>
      <w:r>
        <w:rPr>
          <w:rFonts w:ascii="Arial" w:hAnsi="Arial" w:cs="Arial"/>
          <w:b/>
          <w:bCs/>
          <w:noProof/>
          <w:sz w:val="20"/>
          <w:szCs w:val="20"/>
          <w:lang w:eastAsia="en-US"/>
        </w:rPr>
        <w:pict>
          <v:shape id="_x0000_s1179" type="#_x0000_t202" style="position:absolute;left:0;text-align:left;margin-left:-21.25pt;margin-top:12.8pt;width:55.9pt;height:27.85pt;z-index:251636224;mso-width-relative:margin;mso-height-relative:margin" fillcolor="#d8d8d8" strokecolor="white">
            <v:textbox style="mso-next-textbox:#_x0000_s1179">
              <w:txbxContent>
                <w:p w:rsidR="00E92D98" w:rsidRPr="003B0F70" w:rsidRDefault="00E92D98" w:rsidP="00CE1021">
                  <w:pPr>
                    <w:spacing w:before="40"/>
                    <w:rPr>
                      <w:sz w:val="16"/>
                      <w:szCs w:val="16"/>
                    </w:rPr>
                  </w:pPr>
                  <w:r w:rsidRPr="003B0F70">
                    <w:rPr>
                      <w:rFonts w:ascii="Arial" w:hAnsi="Arial" w:cs="Arial"/>
                      <w:b/>
                      <w:bCs/>
                      <w:color w:val="943634"/>
                      <w:sz w:val="16"/>
                      <w:szCs w:val="16"/>
                    </w:rPr>
                    <w:t>Grandeza/ Parâmetro</w:t>
                  </w:r>
                </w:p>
              </w:txbxContent>
            </v:textbox>
          </v:shape>
        </w:pict>
      </w:r>
      <w:r w:rsidRPr="008E0DDB">
        <w:rPr>
          <w:rFonts w:ascii="Arial" w:hAnsi="Arial" w:cs="Arial"/>
          <w:b/>
          <w:bCs/>
          <w:noProof/>
          <w:color w:val="943634"/>
          <w:sz w:val="20"/>
          <w:szCs w:val="20"/>
        </w:rPr>
        <w:pict>
          <v:shape id="_x0000_s1253" type="#_x0000_t202" style="position:absolute;left:0;text-align:left;margin-left:46.65pt;margin-top:12.8pt;width:463pt;height:27.85pt;z-index:251709952;mso-width-relative:margin;mso-height-relative:margin" fillcolor="#d8d8d8" strokecolor="white">
            <v:textbox style="mso-next-textbox:#_x0000_s1253">
              <w:txbxContent>
                <w:p w:rsidR="00E92D98" w:rsidRPr="009750F4" w:rsidRDefault="00E92D98" w:rsidP="00CE1021">
                  <w:pPr>
                    <w:spacing w:before="60"/>
                    <w:jc w:val="center"/>
                    <w:rPr>
                      <w:sz w:val="16"/>
                      <w:szCs w:val="16"/>
                    </w:rPr>
                  </w:pPr>
                  <w:r w:rsidRPr="009750F4">
                    <w:rPr>
                      <w:rFonts w:ascii="Arial" w:hAnsi="Arial" w:cs="Arial"/>
                      <w:b/>
                      <w:bCs/>
                      <w:color w:val="943634"/>
                      <w:sz w:val="16"/>
                      <w:szCs w:val="16"/>
                    </w:rPr>
                    <w:t>Apresentação dos dados                                                               Comentário</w:t>
                  </w:r>
                </w:p>
              </w:txbxContent>
            </v:textbox>
          </v:shape>
        </w:pict>
      </w:r>
    </w:p>
    <w:p w:rsidR="00CE1021" w:rsidRPr="00190436" w:rsidRDefault="00CE1021" w:rsidP="00CE1021">
      <w:pPr>
        <w:jc w:val="center"/>
        <w:rPr>
          <w:rFonts w:ascii="Arial" w:hAnsi="Arial" w:cs="Arial"/>
          <w:b/>
          <w:bCs/>
          <w:color w:val="943634"/>
          <w:sz w:val="20"/>
          <w:szCs w:val="20"/>
        </w:rPr>
      </w:pPr>
    </w:p>
    <w:p w:rsidR="00C30914" w:rsidRDefault="00CE1021" w:rsidP="00CE1021">
      <w:pPr>
        <w:rPr>
          <w:rFonts w:ascii="Arial" w:hAnsi="Arial" w:cs="Arial"/>
          <w:b/>
          <w:bCs/>
          <w:color w:val="943634"/>
          <w:sz w:val="20"/>
          <w:szCs w:val="20"/>
        </w:rPr>
      </w:pPr>
      <w:r w:rsidRPr="00190436">
        <w:rPr>
          <w:rFonts w:ascii="Arial" w:hAnsi="Arial" w:cs="Arial"/>
          <w:b/>
          <w:bCs/>
          <w:color w:val="943634"/>
          <w:sz w:val="20"/>
          <w:szCs w:val="20"/>
        </w:rPr>
        <w:t xml:space="preserve"> </w:t>
      </w:r>
      <w:r w:rsidRPr="00F53996">
        <w:rPr>
          <w:rFonts w:ascii="Arial" w:hAnsi="Arial" w:cs="Arial"/>
          <w:b/>
          <w:bCs/>
          <w:color w:val="943634"/>
          <w:sz w:val="20"/>
          <w:szCs w:val="20"/>
        </w:rPr>
        <w:t xml:space="preserve">               </w:t>
      </w:r>
    </w:p>
    <w:p w:rsidR="00C30914" w:rsidRDefault="008E0DDB" w:rsidP="00CE1021">
      <w:pPr>
        <w:rPr>
          <w:rFonts w:ascii="Arial" w:hAnsi="Arial" w:cs="Arial"/>
          <w:b/>
          <w:bCs/>
          <w:color w:val="943634"/>
          <w:sz w:val="20"/>
          <w:szCs w:val="20"/>
        </w:rPr>
      </w:pPr>
      <w:r w:rsidRPr="008E0DDB">
        <w:rPr>
          <w:rFonts w:ascii="Arial" w:hAnsi="Arial" w:cs="Arial"/>
          <w:b/>
          <w:noProof/>
          <w:sz w:val="20"/>
          <w:szCs w:val="20"/>
        </w:rPr>
        <w:pict>
          <v:shape id="_x0000_s1180" type="#_x0000_t202" style="position:absolute;margin-left:300.15pt;margin-top:6.15pt;width:209.5pt;height:120pt;z-index:251637248;mso-width-relative:margin;mso-height-relative:margin" strokecolor="#f2f2f2">
            <v:textbox style="mso-next-textbox:#_x0000_s1180">
              <w:txbxContent>
                <w:p w:rsidR="00E92D98" w:rsidRPr="008D02C6" w:rsidRDefault="00E92D98" w:rsidP="00CE1021">
                  <w:pPr>
                    <w:spacing w:line="240" w:lineRule="atLeast"/>
                    <w:jc w:val="center"/>
                    <w:rPr>
                      <w:rFonts w:ascii="Arial" w:hAnsi="Arial" w:cs="Arial"/>
                      <w:sz w:val="16"/>
                      <w:szCs w:val="16"/>
                    </w:rPr>
                  </w:pPr>
                  <w:r w:rsidRPr="008D02C6">
                    <w:rPr>
                      <w:rFonts w:ascii="Arial" w:hAnsi="Arial" w:cs="Arial"/>
                      <w:sz w:val="16"/>
                      <w:szCs w:val="16"/>
                    </w:rPr>
                    <w:t>A TGCA diminuiu do ano de 2009 para 2010 de 1,45% a.a para 0,96% a.a, respectivamente. O mesmo aconteceu com a média do Estado de São Paulo</w:t>
                  </w:r>
                  <w:r w:rsidRPr="008D02C6">
                    <w:rPr>
                      <w:rFonts w:ascii="Arial" w:hAnsi="Arial" w:cs="Arial"/>
                      <w:szCs w:val="16"/>
                    </w:rPr>
                    <w:t xml:space="preserve"> </w:t>
                  </w:r>
                  <w:r w:rsidRPr="008D02C6">
                    <w:rPr>
                      <w:rFonts w:ascii="Arial" w:hAnsi="Arial" w:cs="Arial"/>
                      <w:sz w:val="16"/>
                      <w:szCs w:val="16"/>
                    </w:rPr>
                    <w:t>de 1,33% a.a para 1,10% a.a. Três municípios destacam-se acima da média estadual: Cristais Paulista (1,44) Ipuã (1,77) e Restinga (1,67). O Município de Jeriquara</w:t>
                  </w:r>
                  <w:r w:rsidRPr="008D02C6">
                    <w:rPr>
                      <w:rFonts w:ascii="Arial" w:hAnsi="Arial" w:cs="Arial"/>
                      <w:szCs w:val="16"/>
                    </w:rPr>
                    <w:t xml:space="preserve"> </w:t>
                  </w:r>
                  <w:r w:rsidRPr="008D02C6">
                    <w:rPr>
                      <w:rFonts w:ascii="Arial" w:hAnsi="Arial" w:cs="Arial"/>
                      <w:sz w:val="16"/>
                      <w:szCs w:val="16"/>
                    </w:rPr>
                    <w:t>TGCA negativa (-0,37% a.a.). Dezoito municípios estão classificados na faixa de 0,01%a.a. a 1,33% a.a.(SEADE,2000/2010).</w:t>
                  </w:r>
                </w:p>
              </w:txbxContent>
            </v:textbox>
          </v:shape>
        </w:pict>
      </w:r>
      <w:r>
        <w:rPr>
          <w:rFonts w:ascii="Arial" w:hAnsi="Arial" w:cs="Arial"/>
          <w:b/>
          <w:bCs/>
          <w:noProof/>
          <w:color w:val="943634"/>
          <w:sz w:val="20"/>
          <w:szCs w:val="20"/>
          <w:lang w:eastAsia="en-US"/>
        </w:rPr>
        <w:pict>
          <v:shape id="_x0000_s1178" type="#_x0000_t202" style="position:absolute;margin-left:-21.25pt;margin-top:6.15pt;width:55.9pt;height:119.05pt;z-index:251635200;mso-width-relative:margin;mso-height-relative:margin" fillcolor="#ff6" strokecolor="#f2f2f2">
            <v:textbox style="layout-flow:vertical;mso-layout-flow-alt:bottom-to-top;mso-next-textbox:#_x0000_s1178">
              <w:txbxContent>
                <w:p w:rsidR="00E92D98" w:rsidRPr="00B03A9C" w:rsidRDefault="00E92D98" w:rsidP="00CE1021">
                  <w:pPr>
                    <w:spacing w:before="120" w:line="360" w:lineRule="auto"/>
                    <w:jc w:val="center"/>
                    <w:rPr>
                      <w:rFonts w:ascii="Arial" w:hAnsi="Arial" w:cs="Arial"/>
                      <w:b/>
                      <w:bCs/>
                      <w:sz w:val="16"/>
                      <w:szCs w:val="16"/>
                    </w:rPr>
                  </w:pPr>
                  <w:r w:rsidRPr="00195E63">
                    <w:rPr>
                      <w:rFonts w:ascii="Arial" w:hAnsi="Arial" w:cs="Arial"/>
                      <w:b/>
                      <w:bCs/>
                      <w:sz w:val="16"/>
                      <w:szCs w:val="16"/>
                    </w:rPr>
                    <w:t>FM.01-A.Taxa geométrica de crescimento anual (TGCA) (% a.a.)</w:t>
                  </w:r>
                </w:p>
                <w:p w:rsidR="00E92D98" w:rsidRPr="00195E63" w:rsidRDefault="00E92D98" w:rsidP="00CE1021">
                  <w:pPr>
                    <w:jc w:val="center"/>
                    <w:rPr>
                      <w:b/>
                      <w:sz w:val="20"/>
                      <w:szCs w:val="20"/>
                    </w:rPr>
                  </w:pPr>
                </w:p>
              </w:txbxContent>
            </v:textbox>
          </v:shape>
        </w:pict>
      </w:r>
    </w:p>
    <w:p w:rsidR="00CE1021" w:rsidRDefault="00CE1021" w:rsidP="00EC1BEE">
      <w:pPr>
        <w:rPr>
          <w:rFonts w:ascii="Arial" w:hAnsi="Arial" w:cs="Arial"/>
          <w:b/>
          <w:noProof/>
          <w:sz w:val="20"/>
          <w:szCs w:val="20"/>
        </w:rPr>
      </w:pPr>
      <w:r w:rsidRPr="00F53996">
        <w:rPr>
          <w:rFonts w:ascii="Arial" w:hAnsi="Arial" w:cs="Arial"/>
          <w:b/>
          <w:bCs/>
          <w:color w:val="943634"/>
          <w:sz w:val="20"/>
          <w:szCs w:val="20"/>
        </w:rPr>
        <w:t xml:space="preserve">                </w:t>
      </w:r>
      <w:r w:rsidR="00EC1BEE">
        <w:rPr>
          <w:rFonts w:ascii="Arial" w:hAnsi="Arial" w:cs="Arial"/>
          <w:b/>
          <w:noProof/>
          <w:sz w:val="20"/>
          <w:szCs w:val="20"/>
        </w:rPr>
        <w:drawing>
          <wp:inline distT="0" distB="0" distL="0" distR="0">
            <wp:extent cx="2838893" cy="1562986"/>
            <wp:effectExtent l="0" t="0" r="0" b="0"/>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53996">
        <w:rPr>
          <w:rFonts w:ascii="Arial" w:hAnsi="Arial" w:cs="Arial"/>
          <w:b/>
          <w:bCs/>
          <w:color w:val="943634"/>
          <w:sz w:val="20"/>
          <w:szCs w:val="20"/>
        </w:rPr>
        <w:t xml:space="preserve"> </w:t>
      </w:r>
      <w:r w:rsidR="008E0DDB">
        <w:rPr>
          <w:rFonts w:ascii="Arial" w:hAnsi="Arial" w:cs="Arial"/>
          <w:b/>
          <w:noProof/>
          <w:sz w:val="20"/>
          <w:szCs w:val="20"/>
        </w:rPr>
        <w:pict>
          <v:shape id="_x0000_s1181" type="#_x0000_t202" style="position:absolute;margin-left:-21.25pt;margin-top:110.55pt;width:55.9pt;height:210.75pt;z-index:251638272;mso-position-horizontal-relative:text;mso-position-vertical-relative:text;mso-width-relative:margin;mso-height-relative:margin" fillcolor="#ff6" strokecolor="#f2f2f2">
            <v:textbox style="layout-flow:vertical;mso-layout-flow-alt:bottom-to-top;mso-next-textbox:#_x0000_s1181">
              <w:txbxContent>
                <w:p w:rsidR="00E92D98" w:rsidRDefault="00E92D98" w:rsidP="00CE1021">
                  <w:pPr>
                    <w:spacing w:line="360" w:lineRule="auto"/>
                    <w:jc w:val="center"/>
                    <w:rPr>
                      <w:rFonts w:ascii="Arial" w:hAnsi="Arial" w:cs="Arial"/>
                      <w:b/>
                      <w:bCs/>
                      <w:sz w:val="16"/>
                      <w:szCs w:val="16"/>
                    </w:rPr>
                  </w:pPr>
                </w:p>
                <w:p w:rsidR="00E92D98" w:rsidRPr="00B03A9C" w:rsidRDefault="00E92D98" w:rsidP="00CE1021">
                  <w:pPr>
                    <w:spacing w:line="360" w:lineRule="auto"/>
                    <w:jc w:val="center"/>
                    <w:rPr>
                      <w:sz w:val="16"/>
                      <w:szCs w:val="16"/>
                    </w:rPr>
                  </w:pPr>
                  <w:r w:rsidRPr="00B03A9C">
                    <w:rPr>
                      <w:rFonts w:ascii="Arial" w:hAnsi="Arial" w:cs="Arial"/>
                      <w:b/>
                      <w:bCs/>
                      <w:sz w:val="16"/>
                      <w:szCs w:val="16"/>
                    </w:rPr>
                    <w:t>FM.03-A Densidade demográfica (hab/km2)</w:t>
                  </w:r>
                </w:p>
              </w:txbxContent>
            </v:textbox>
          </v:shape>
        </w:pict>
      </w:r>
      <w:r w:rsidR="008E0DDB">
        <w:rPr>
          <w:rFonts w:ascii="Arial" w:hAnsi="Arial" w:cs="Arial"/>
          <w:b/>
          <w:noProof/>
          <w:sz w:val="20"/>
          <w:szCs w:val="20"/>
        </w:rPr>
        <w:pict>
          <v:shape id="_x0000_s1183" type="#_x0000_t202" style="position:absolute;margin-left:300.15pt;margin-top:110.55pt;width:209.5pt;height:210.75pt;z-index:251640320;mso-position-horizontal-relative:text;mso-position-vertical-relative:text;mso-width-relative:margin;mso-height-relative:margin" strokecolor="#f2f2f2">
            <v:textbox style="mso-next-textbox:#_x0000_s1183">
              <w:txbxContent>
                <w:p w:rsidR="00E92D98" w:rsidRPr="008D02C6" w:rsidRDefault="00E92D98" w:rsidP="00CE1021">
                  <w:pPr>
                    <w:spacing w:line="240" w:lineRule="atLeast"/>
                    <w:jc w:val="center"/>
                    <w:rPr>
                      <w:rFonts w:ascii="Arial" w:hAnsi="Arial" w:cs="Arial"/>
                      <w:sz w:val="16"/>
                      <w:szCs w:val="16"/>
                    </w:rPr>
                  </w:pPr>
                  <w:r w:rsidRPr="008D02C6">
                    <w:rPr>
                      <w:rFonts w:ascii="Arial" w:hAnsi="Arial" w:cs="Arial"/>
                      <w:sz w:val="16"/>
                      <w:szCs w:val="16"/>
                    </w:rPr>
                    <w:t>A densidade demográfica passou de 70,00 hab/Km² (2009) para 67,6 hab/Km², inferior à média estadual de 166,10 hab/Km² (SEADE,2010). Os municípios mais populosos são Franca (524,20) e São Joaquim da Barra (112,7). Ressalta-se que o município de Guaíra abriga 6% da população total da UGRHI-08 em 12% do território da bacia. Enquanto Franca abriga 48% da população total em 6% do território da bacia, destacando-se como uma área crítica de impacto aos recursos hídricos superficiais, na captação para abastecimento e no lançamento de efluentes. Apontando necessidade de gerenciamento de uso e ocupação do solo. Ressalta-se aqui uma inconsistência dos dados fornecidos pelo SEADE entre os anos 2009 e 2010, uma vez que houve crescimento populacional e diminuição da densidade populacional.</w:t>
                  </w:r>
                </w:p>
              </w:txbxContent>
            </v:textbox>
          </v:shape>
        </w:pict>
      </w:r>
      <w:r>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82" type="#_x0000_t202" style="position:absolute;left:0;text-align:left;margin-left:39.65pt;margin-top:.55pt;width:208.55pt;height:174.95pt;z-index:251639296;mso-wrap-style:none;mso-width-relative:margin;mso-height-relative:margin" strokecolor="white">
            <v:textbox style="mso-next-textbox:#_x0000_s1182;mso-fit-shape-to-text:t">
              <w:txbxContent>
                <w:p w:rsidR="00E92D98" w:rsidRPr="00252C84" w:rsidRDefault="00E92D98" w:rsidP="00CE1021">
                  <w:r>
                    <w:rPr>
                      <w:noProof/>
                    </w:rPr>
                    <w:drawing>
                      <wp:inline distT="0" distB="0" distL="0" distR="0">
                        <wp:extent cx="2955851" cy="1935125"/>
                        <wp:effectExtent l="0" t="0" r="0" b="0"/>
                        <wp:docPr id="34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86" type="#_x0000_t202" style="position:absolute;left:0;text-align:left;margin-left:34.65pt;margin-top:14.6pt;width:232.1pt;height:160.7pt;z-index:251643392;mso-wrap-style:none;mso-width-relative:margin;mso-height-relative:margin" strokecolor="white">
            <v:textbox style="mso-next-textbox:#_x0000_s1186;mso-fit-shape-to-text:t">
              <w:txbxContent>
                <w:p w:rsidR="00E92D98" w:rsidRPr="00252C84" w:rsidRDefault="00E92D98" w:rsidP="00CE1021">
                  <w:r>
                    <w:rPr>
                      <w:noProof/>
                    </w:rPr>
                    <w:drawing>
                      <wp:inline distT="0" distB="0" distL="0" distR="0">
                        <wp:extent cx="3019647" cy="1765005"/>
                        <wp:effectExtent l="0" t="0" r="0" b="0"/>
                        <wp:docPr id="34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w:r>
      <w:r>
        <w:rPr>
          <w:rFonts w:ascii="Arial" w:hAnsi="Arial" w:cs="Arial"/>
          <w:b/>
          <w:noProof/>
          <w:sz w:val="20"/>
          <w:szCs w:val="20"/>
        </w:rPr>
        <w:pict>
          <v:shape id="_x0000_s1184" type="#_x0000_t202" style="position:absolute;left:0;text-align:left;margin-left:-21.25pt;margin-top:7.3pt;width:55.9pt;height:168pt;z-index:251641344;mso-width-relative:margin;mso-height-relative:margin" fillcolor="#ff6" strokecolor="#f2f2f2">
            <v:textbox style="layout-flow:vertical;mso-layout-flow-alt:bottom-to-top;mso-next-textbox:#_x0000_s1184">
              <w:txbxContent>
                <w:p w:rsidR="00E92D98" w:rsidRDefault="00E92D98" w:rsidP="00CE1021">
                  <w:pPr>
                    <w:spacing w:line="360" w:lineRule="auto"/>
                    <w:rPr>
                      <w:rFonts w:ascii="Arial" w:hAnsi="Arial" w:cs="Arial"/>
                      <w:b/>
                      <w:bCs/>
                      <w:sz w:val="16"/>
                      <w:szCs w:val="16"/>
                    </w:rPr>
                  </w:pPr>
                </w:p>
                <w:p w:rsidR="00E92D98" w:rsidRPr="00B03A9C" w:rsidRDefault="00E92D98" w:rsidP="00CE1021">
                  <w:pPr>
                    <w:spacing w:line="360" w:lineRule="auto"/>
                    <w:jc w:val="center"/>
                    <w:rPr>
                      <w:sz w:val="16"/>
                      <w:szCs w:val="16"/>
                    </w:rPr>
                  </w:pPr>
                  <w:r w:rsidRPr="00B03A9C">
                    <w:rPr>
                      <w:rFonts w:ascii="Arial" w:hAnsi="Arial" w:cs="Arial"/>
                      <w:b/>
                      <w:bCs/>
                      <w:sz w:val="16"/>
                      <w:szCs w:val="16"/>
                    </w:rPr>
                    <w:t>FM.03-B Taxa de urbanização (%)</w:t>
                  </w:r>
                </w:p>
              </w:txbxContent>
            </v:textbox>
          </v:shape>
        </w:pict>
      </w:r>
      <w:r>
        <w:rPr>
          <w:rFonts w:ascii="Arial" w:hAnsi="Arial" w:cs="Arial"/>
          <w:b/>
          <w:noProof/>
          <w:sz w:val="20"/>
          <w:szCs w:val="20"/>
        </w:rPr>
        <w:pict>
          <v:shape id="_x0000_s1185" type="#_x0000_t202" style="position:absolute;left:0;text-align:left;margin-left:300.15pt;margin-top:7.3pt;width:209.25pt;height:164.25pt;z-index:251642368;mso-width-relative:margin;mso-height-relative:margin" strokecolor="#f2f2f2">
            <v:textbox style="mso-next-textbox:#_x0000_s1185">
              <w:txbxContent>
                <w:p w:rsidR="00E92D98" w:rsidRPr="008D02C6" w:rsidRDefault="00E92D98" w:rsidP="00CE1021">
                  <w:pPr>
                    <w:spacing w:line="240" w:lineRule="atLeast"/>
                    <w:jc w:val="center"/>
                    <w:rPr>
                      <w:rFonts w:ascii="Arial" w:hAnsi="Arial" w:cs="Arial"/>
                      <w:sz w:val="16"/>
                      <w:szCs w:val="16"/>
                    </w:rPr>
                  </w:pPr>
                  <w:r w:rsidRPr="008D02C6">
                    <w:rPr>
                      <w:rFonts w:ascii="Arial" w:hAnsi="Arial" w:cs="Arial"/>
                      <w:sz w:val="16"/>
                      <w:szCs w:val="16"/>
                    </w:rPr>
                    <w:t>A Taxa de Urbanização da Bacia dos rios Sapucaí Mirim/Grande se manteve nos últimos anos atingindo média de 94,5%, estando no ano de 2010 abaixo da média estadual que passou de 93,8% (2009) para 95,9% (2010). Franca  e São Joaquim da Barra destacam-se com taxa de 98,2%. Cristais Paulista com 72,8 % e Pedregulho com 74,0% são os municípios que apresentaram a menor taxa de urbanização (SEADE, 2010). Destaque para o município de São Joaquim da Barra que vem apresentando crescente taxa de urbanização</w:t>
                  </w:r>
                  <w:r w:rsidRPr="008D02C6">
                    <w:rPr>
                      <w:rFonts w:ascii="Verdana" w:hAnsi="Verdana"/>
                      <w:sz w:val="16"/>
                      <w:szCs w:val="16"/>
                    </w:rPr>
                    <w:t xml:space="preserve"> </w:t>
                  </w:r>
                  <w:r w:rsidRPr="008D02C6">
                    <w:rPr>
                      <w:rFonts w:ascii="Arial" w:hAnsi="Arial" w:cs="Arial"/>
                      <w:sz w:val="16"/>
                      <w:szCs w:val="16"/>
                    </w:rPr>
                    <w:t>nos últimos anos, e não tem implantado Estação de Tratamento de Esgoto.</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30914" w:rsidRDefault="00C30914"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sidRPr="008E0DDB">
        <w:rPr>
          <w:rFonts w:ascii="Arial" w:hAnsi="Arial" w:cs="Arial"/>
          <w:noProof/>
          <w:sz w:val="20"/>
          <w:szCs w:val="20"/>
        </w:rPr>
        <w:pict>
          <v:shape id="_x0000_s1277" type="#_x0000_t202" style="position:absolute;left:0;text-align:left;margin-left:-21.75pt;margin-top:12.2pt;width:55.9pt;height:27.85pt;z-index:251712000;mso-width-relative:margin;mso-height-relative:margin" fillcolor="#d8d8d8" strokecolor="white">
            <v:textbox style="mso-next-textbox:#_x0000_s1277">
              <w:txbxContent>
                <w:p w:rsidR="00E92D98" w:rsidRPr="003B0F70" w:rsidRDefault="00E92D98" w:rsidP="00CE1021">
                  <w:pPr>
                    <w:spacing w:before="40"/>
                    <w:rPr>
                      <w:sz w:val="16"/>
                      <w:szCs w:val="16"/>
                    </w:rPr>
                  </w:pPr>
                  <w:r w:rsidRPr="003B0F70">
                    <w:rPr>
                      <w:rFonts w:ascii="Arial" w:hAnsi="Arial" w:cs="Arial"/>
                      <w:b/>
                      <w:bCs/>
                      <w:color w:val="943634"/>
                      <w:sz w:val="16"/>
                      <w:szCs w:val="16"/>
                    </w:rPr>
                    <w:t>Grandeza/ Parâmetro</w:t>
                  </w:r>
                </w:p>
              </w:txbxContent>
            </v:textbox>
          </v:shape>
        </w:pict>
      </w:r>
      <w:r w:rsidRPr="008E0DDB">
        <w:rPr>
          <w:rFonts w:ascii="Arial" w:hAnsi="Arial" w:cs="Arial"/>
          <w:noProof/>
          <w:sz w:val="20"/>
          <w:szCs w:val="20"/>
        </w:rPr>
        <w:pict>
          <v:shape id="_x0000_s1279" type="#_x0000_t202" style="position:absolute;left:0;text-align:left;margin-left:46.15pt;margin-top:12.2pt;width:463pt;height:27.85pt;z-index:251714048;mso-width-relative:margin;mso-height-relative:margin" fillcolor="#d8d8d8" strokecolor="white">
            <v:textbox style="mso-next-textbox:#_x0000_s1279">
              <w:txbxContent>
                <w:p w:rsidR="00E92D98" w:rsidRPr="009750F4" w:rsidRDefault="00E92D98" w:rsidP="00CE1021">
                  <w:pPr>
                    <w:spacing w:before="60"/>
                    <w:jc w:val="center"/>
                    <w:rPr>
                      <w:sz w:val="16"/>
                      <w:szCs w:val="16"/>
                    </w:rPr>
                  </w:pPr>
                  <w:r w:rsidRPr="009750F4">
                    <w:rPr>
                      <w:rFonts w:ascii="Arial" w:hAnsi="Arial" w:cs="Arial"/>
                      <w:b/>
                      <w:bCs/>
                      <w:color w:val="943634"/>
                      <w:sz w:val="16"/>
                      <w:szCs w:val="16"/>
                    </w:rPr>
                    <w:t>Apresentação dos dados                                                               Comentário</w:t>
                  </w:r>
                </w:p>
              </w:txbxContent>
            </v:textbox>
          </v:shape>
        </w:pict>
      </w:r>
      <w:r w:rsidRPr="008E0DDB">
        <w:rPr>
          <w:rFonts w:ascii="Arial" w:hAnsi="Arial" w:cs="Arial"/>
          <w:noProof/>
          <w:sz w:val="20"/>
          <w:szCs w:val="20"/>
        </w:rPr>
        <w:pict>
          <v:shape id="_x0000_s1278" type="#_x0000_t202" style="position:absolute;left:0;text-align:left;margin-left:-21.75pt;margin-top:-14.45pt;width:530.9pt;height:20.2pt;z-index:251713024;mso-width-relative:margin;mso-height-relative:margin" fillcolor="#d8d8d8" strokecolor="white">
            <v:textbox style="mso-next-textbox:#_x0000_s1278">
              <w:txbxContent>
                <w:p w:rsidR="00E92D98" w:rsidRDefault="00E92D98" w:rsidP="00CE1021">
                  <w:pPr>
                    <w:jc w:val="center"/>
                    <w:rPr>
                      <w:rFonts w:ascii="Arial" w:hAnsi="Arial" w:cs="Arial"/>
                      <w:b/>
                      <w:bCs/>
                      <w:color w:val="943634"/>
                      <w:sz w:val="20"/>
                      <w:szCs w:val="20"/>
                    </w:rPr>
                  </w:pPr>
                  <w:r w:rsidRPr="00BF0F80">
                    <w:rPr>
                      <w:rFonts w:ascii="Arial" w:hAnsi="Arial" w:cs="Arial"/>
                      <w:b/>
                      <w:bCs/>
                      <w:color w:val="943634"/>
                      <w:sz w:val="20"/>
                      <w:szCs w:val="20"/>
                    </w:rPr>
                    <w:t>FORÇA MOTRIZ: Dinâmica demográfica e social</w:t>
                  </w:r>
                </w:p>
                <w:p w:rsidR="00E92D98" w:rsidRPr="00826C1D" w:rsidRDefault="00E92D98" w:rsidP="00CE1021">
                  <w:pPr>
                    <w:rPr>
                      <w:szCs w:val="18"/>
                    </w:rPr>
                  </w:pP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sidRPr="008E0DDB">
        <w:rPr>
          <w:rFonts w:ascii="Arial" w:hAnsi="Arial" w:cs="Arial"/>
          <w:noProof/>
          <w:sz w:val="20"/>
          <w:szCs w:val="20"/>
        </w:rPr>
        <w:pict>
          <v:shape id="_x0000_s1232" type="#_x0000_t202" style="position:absolute;left:0;text-align:left;margin-left:-21.75pt;margin-top:10.1pt;width:55.9pt;height:234.75pt;z-index:251690496;mso-width-relative:margin;mso-height-relative:margin" fillcolor="#ff6" strokecolor="#f2f2f2">
            <v:textbox style="layout-flow:vertical;mso-layout-flow-alt:bottom-to-top;mso-next-textbox:#_x0000_s1232">
              <w:txbxContent>
                <w:p w:rsidR="00E92D98" w:rsidRDefault="00E92D98" w:rsidP="00CE1021">
                  <w:pPr>
                    <w:spacing w:line="360" w:lineRule="auto"/>
                    <w:rPr>
                      <w:rFonts w:ascii="Arial" w:hAnsi="Arial" w:cs="Arial"/>
                      <w:b/>
                      <w:sz w:val="16"/>
                      <w:szCs w:val="16"/>
                    </w:rPr>
                  </w:pPr>
                </w:p>
                <w:p w:rsidR="00E92D98" w:rsidRPr="00DB2AF0" w:rsidRDefault="00E92D98" w:rsidP="00CE1021">
                  <w:pPr>
                    <w:spacing w:line="360" w:lineRule="auto"/>
                    <w:rPr>
                      <w:rFonts w:ascii="Arial" w:hAnsi="Arial" w:cs="Arial"/>
                      <w:sz w:val="16"/>
                      <w:szCs w:val="16"/>
                    </w:rPr>
                  </w:pPr>
                  <w:r w:rsidRPr="00DB2AF0">
                    <w:rPr>
                      <w:rFonts w:ascii="Arial" w:hAnsi="Arial" w:cs="Arial"/>
                      <w:b/>
                      <w:sz w:val="16"/>
                      <w:szCs w:val="16"/>
                    </w:rPr>
                    <w:t>FM.04-A. Índice Paulista de Responsabilidade Social (IPRS)</w:t>
                  </w:r>
                </w:p>
              </w:txbxContent>
            </v:textbox>
          </v:shape>
        </w:pict>
      </w:r>
      <w:r w:rsidRPr="008E0DDB">
        <w:rPr>
          <w:rFonts w:ascii="Arial" w:hAnsi="Arial" w:cs="Arial"/>
          <w:noProof/>
          <w:sz w:val="20"/>
          <w:szCs w:val="20"/>
        </w:rPr>
        <w:pict>
          <v:shape id="_x0000_s1233" type="#_x0000_t202" style="position:absolute;left:0;text-align:left;margin-left:300.4pt;margin-top:10.1pt;width:209.25pt;height:234.75pt;z-index:251691520;mso-width-relative:margin;mso-height-relative:margin" strokecolor="#f2f2f2">
            <v:textbox style="mso-next-textbox:#_x0000_s1233">
              <w:txbxContent>
                <w:p w:rsidR="00E92D98" w:rsidRPr="008D02C6" w:rsidRDefault="00E92D98" w:rsidP="00CE1021">
                  <w:pPr>
                    <w:spacing w:line="240" w:lineRule="atLeast"/>
                    <w:jc w:val="center"/>
                    <w:rPr>
                      <w:rFonts w:ascii="Arial" w:hAnsi="Arial" w:cs="Arial"/>
                      <w:sz w:val="16"/>
                      <w:szCs w:val="16"/>
                    </w:rPr>
                  </w:pPr>
                  <w:r w:rsidRPr="008D02C6">
                    <w:rPr>
                      <w:rFonts w:ascii="Arial" w:hAnsi="Arial" w:cs="Arial"/>
                      <w:sz w:val="16"/>
                      <w:szCs w:val="16"/>
                    </w:rPr>
                    <w:t>O IPRS indica mudanças em alguns municípios da UGRHI 08 entre os anos de 2006 e 2008. Os municípios que melhoraram a qualidade de vida foram Guaíra, passando do Grupo 2 para Grupo 1 e São José da Bela Vista para Grupo 3. Outros municípios que se encontram neste Grupo 3 são Franca, Miguelópolis e Patrocínio Paulista. No município de Ipuã houve redução na qualidade de vida passando do Grupo 2 para Grupo 4. Destaca-se Pedregulho que encontra-se no Grupo 5, uma vez que as condições socioeconômicas vinculam-se à qualidade e disponibilidade dos recursos hídricos, necessitando de especial atenção à políticas restritivas de uso e ocupação do solo (SEADE,2010). A região tem sofrido as conseqüências do crescimento do agronegócio, principalmente o cultivo da cana de açúcar, impactando diretamente a riqueza dos municípios, apresentando repercussão maior nos municípios menores.</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sidRPr="008E0DDB">
        <w:rPr>
          <w:rFonts w:ascii="Arial" w:hAnsi="Arial" w:cs="Arial"/>
          <w:noProof/>
          <w:sz w:val="20"/>
          <w:szCs w:val="20"/>
        </w:rPr>
        <w:pict>
          <v:shape id="_x0000_s1234" type="#_x0000_t202" style="position:absolute;left:0;text-align:left;margin-left:34.4pt;margin-top:1.1pt;width:222.2pt;height:136.7pt;z-index:251692544;mso-wrap-style:none;mso-width-relative:margin;mso-height-relative:margin" strokecolor="white">
            <v:textbox style="mso-next-textbox:#_x0000_s1234">
              <w:txbxContent>
                <w:p w:rsidR="00E92D98" w:rsidRPr="00252C84" w:rsidRDefault="00E92D98" w:rsidP="00CE1021">
                  <w:r>
                    <w:rPr>
                      <w:noProof/>
                    </w:rPr>
                    <w:drawing>
                      <wp:inline distT="0" distB="0" distL="0" distR="0">
                        <wp:extent cx="3168503" cy="1913861"/>
                        <wp:effectExtent l="0" t="0" r="0" b="0"/>
                        <wp:docPr id="34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jc w:val="center"/>
        <w:rPr>
          <w:rFonts w:ascii="Arial" w:hAnsi="Arial" w:cs="Arial"/>
          <w:b/>
          <w:bCs/>
          <w:color w:val="943634"/>
          <w:sz w:val="20"/>
          <w:szCs w:val="20"/>
        </w:rPr>
      </w:pPr>
    </w:p>
    <w:p w:rsidR="00CE1021" w:rsidRPr="00190436" w:rsidRDefault="00CE1021" w:rsidP="00CE1021">
      <w:pPr>
        <w:jc w:val="center"/>
        <w:rPr>
          <w:rFonts w:ascii="Arial" w:hAnsi="Arial" w:cs="Arial"/>
          <w:b/>
          <w:bCs/>
          <w:color w:val="943634"/>
          <w:sz w:val="20"/>
          <w:szCs w:val="20"/>
        </w:rPr>
      </w:pPr>
    </w:p>
    <w:p w:rsidR="00CE1021" w:rsidRDefault="00CE1021" w:rsidP="00CE1021">
      <w:pPr>
        <w:rPr>
          <w:rFonts w:ascii="Arial" w:hAnsi="Arial" w:cs="Arial"/>
          <w:b/>
          <w:bCs/>
          <w:color w:val="943634"/>
          <w:sz w:val="20"/>
          <w:szCs w:val="20"/>
        </w:rPr>
      </w:pPr>
      <w:r w:rsidRPr="00190436">
        <w:rPr>
          <w:rFonts w:ascii="Arial" w:hAnsi="Arial" w:cs="Arial"/>
          <w:b/>
          <w:bCs/>
          <w:color w:val="943634"/>
          <w:sz w:val="20"/>
          <w:szCs w:val="20"/>
        </w:rPr>
        <w:t xml:space="preserve"> </w:t>
      </w:r>
      <w:r w:rsidRPr="00F53996">
        <w:rPr>
          <w:rFonts w:ascii="Arial" w:hAnsi="Arial" w:cs="Arial"/>
          <w:b/>
          <w:bCs/>
          <w:color w:val="943634"/>
          <w:sz w:val="20"/>
          <w:szCs w:val="20"/>
        </w:rPr>
        <w:t xml:space="preserve">                                     </w:t>
      </w:r>
    </w:p>
    <w:p w:rsidR="00CE1021" w:rsidRDefault="00CE1021" w:rsidP="00CE1021">
      <w:pPr>
        <w:rPr>
          <w:rFonts w:ascii="Arial" w:hAnsi="Arial" w:cs="Arial"/>
          <w:b/>
          <w:bCs/>
          <w:color w:val="943634"/>
          <w:sz w:val="20"/>
          <w:szCs w:val="20"/>
        </w:rPr>
      </w:pPr>
    </w:p>
    <w:p w:rsidR="00CE1021" w:rsidRDefault="00CE1021" w:rsidP="00CE1021">
      <w:pPr>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89" type="#_x0000_t202" style="position:absolute;left:0;text-align:left;margin-left:46.15pt;margin-top:9.9pt;width:211.35pt;height:133.5pt;z-index:251646464;mso-wrap-style:none;mso-width-relative:margin;mso-height-relative:margin" strokecolor="white">
            <v:textbox style="mso-next-textbox:#_x0000_s1189">
              <w:txbxContent>
                <w:p w:rsidR="00E92D98" w:rsidRPr="00252C84" w:rsidRDefault="00E92D98" w:rsidP="00CE1021">
                  <w:r>
                    <w:rPr>
                      <w:noProof/>
                    </w:rPr>
                    <w:drawing>
                      <wp:inline distT="0" distB="0" distL="0" distR="0">
                        <wp:extent cx="2491105" cy="1497965"/>
                        <wp:effectExtent l="0" t="0" r="0" b="0"/>
                        <wp:docPr id="34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88" type="#_x0000_t202" style="position:absolute;left:0;text-align:left;margin-left:300.9pt;margin-top:8.45pt;width:208.75pt;height:117.75pt;z-index:251645440;mso-width-relative:margin;mso-height-relative:margin" strokecolor="#f2f2f2">
            <v:textbox style="mso-next-textbox:#_x0000_s1188">
              <w:txbxContent>
                <w:p w:rsidR="00E92D98" w:rsidRPr="0002131A" w:rsidRDefault="00E92D98" w:rsidP="00CE1021">
                  <w:pPr>
                    <w:spacing w:line="240" w:lineRule="atLeast"/>
                    <w:jc w:val="center"/>
                    <w:rPr>
                      <w:rFonts w:ascii="Arial" w:hAnsi="Arial" w:cs="Arial"/>
                      <w:sz w:val="16"/>
                      <w:szCs w:val="16"/>
                    </w:rPr>
                  </w:pPr>
                  <w:r w:rsidRPr="0002131A">
                    <w:rPr>
                      <w:rFonts w:ascii="Arial" w:hAnsi="Arial" w:cs="Arial"/>
                      <w:sz w:val="16"/>
                      <w:szCs w:val="16"/>
                    </w:rPr>
                    <w:t>A média do Estado de São Paulo para o IDH - M é de 0,814. Cinco municípios apresentaram IDH-M alto ( 0,80-1,00): Batatais (0,825), Franca (0,820), Guaíra (0,822), Patrocínio Paulista (0,809) e São Joaquim da Barra (0,810). Dezessete municípios apresentaram IDH-M médio (0,510-0,800), sendo o município com menor índice foi Jeriquara (0,748), um pouco abaixo da média estadual. Nenhum município com sede na UGRHI 08 possui IDH-M baixo (SEADE, 2000).</w:t>
                  </w:r>
                </w:p>
              </w:txbxContent>
            </v:textbox>
          </v:shape>
        </w:pict>
      </w:r>
      <w:r>
        <w:rPr>
          <w:rFonts w:ascii="Arial" w:hAnsi="Arial" w:cs="Arial"/>
          <w:b/>
          <w:noProof/>
          <w:sz w:val="20"/>
          <w:szCs w:val="20"/>
        </w:rPr>
        <w:pict>
          <v:shape id="_x0000_s1187" type="#_x0000_t202" style="position:absolute;left:0;text-align:left;margin-left:-21.75pt;margin-top:8.45pt;width:56.15pt;height:117.75pt;z-index:251644416;mso-width-relative:margin;mso-height-relative:margin" strokecolor="#f2f2f2">
            <v:textbox style="layout-flow:vertical;mso-layout-flow-alt:bottom-to-top;mso-next-textbox:#_x0000_s1187">
              <w:txbxContent>
                <w:p w:rsidR="00E92D98" w:rsidRPr="0002131A" w:rsidRDefault="00E92D98" w:rsidP="00CE1021">
                  <w:pPr>
                    <w:spacing w:before="60" w:line="360" w:lineRule="auto"/>
                    <w:jc w:val="center"/>
                    <w:rPr>
                      <w:rFonts w:ascii="Arial" w:hAnsi="Arial" w:cs="Arial"/>
                      <w:b/>
                      <w:sz w:val="16"/>
                      <w:szCs w:val="16"/>
                    </w:rPr>
                  </w:pPr>
                  <w:r w:rsidRPr="0002131A">
                    <w:rPr>
                      <w:rFonts w:ascii="Arial" w:hAnsi="Arial" w:cs="Arial"/>
                      <w:b/>
                      <w:sz w:val="16"/>
                      <w:szCs w:val="16"/>
                    </w:rPr>
                    <w:t>FM.4-B. Índice de Desenvolvimento Humano Municipal (IDH-M)</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8E0DDB" w:rsidP="00CE1021">
      <w:pPr>
        <w:pStyle w:val="Corpodetexto"/>
        <w:spacing w:line="360" w:lineRule="auto"/>
        <w:jc w:val="center"/>
        <w:rPr>
          <w:rFonts w:ascii="Arial" w:hAnsi="Arial" w:cs="Arial"/>
          <w:b/>
          <w:bCs/>
          <w:color w:val="943634"/>
        </w:rPr>
      </w:pPr>
      <w:r>
        <w:rPr>
          <w:rFonts w:ascii="Arial" w:hAnsi="Arial" w:cs="Arial"/>
          <w:b/>
          <w:bCs/>
          <w:noProof/>
          <w:color w:val="943634"/>
        </w:rPr>
        <w:lastRenderedPageBreak/>
        <w:pict>
          <v:shape id="_x0000_s1255" type="#_x0000_t202" style="position:absolute;left:0;text-align:left;margin-left:-21.25pt;margin-top:-4.3pt;width:530.9pt;height:20.2pt;z-index:-251722240;mso-width-relative:margin;mso-height-relative:margin" fillcolor="#d8d8d8" strokecolor="white">
            <v:textbox style="mso-next-textbox:#_x0000_s1255">
              <w:txbxContent>
                <w:p w:rsidR="00E92D98" w:rsidRDefault="00E92D98" w:rsidP="00CE1021">
                  <w:pPr>
                    <w:jc w:val="center"/>
                    <w:rPr>
                      <w:rFonts w:ascii="Arial" w:hAnsi="Arial" w:cs="Arial"/>
                      <w:b/>
                      <w:bCs/>
                      <w:color w:val="943634"/>
                      <w:sz w:val="20"/>
                      <w:szCs w:val="20"/>
                    </w:rPr>
                  </w:pPr>
                  <w:r w:rsidRPr="00BF0F80">
                    <w:rPr>
                      <w:rFonts w:ascii="Arial" w:hAnsi="Arial" w:cs="Arial"/>
                      <w:b/>
                      <w:bCs/>
                      <w:color w:val="943634"/>
                      <w:sz w:val="20"/>
                      <w:szCs w:val="20"/>
                    </w:rPr>
                    <w:t xml:space="preserve">FORÇA MOTRIZ: Dinâmica </w:t>
                  </w:r>
                  <w:r>
                    <w:rPr>
                      <w:rFonts w:ascii="Arial" w:hAnsi="Arial" w:cs="Arial"/>
                      <w:b/>
                      <w:bCs/>
                      <w:color w:val="943634"/>
                      <w:sz w:val="20"/>
                      <w:szCs w:val="20"/>
                    </w:rPr>
                    <w:t>Econômica</w:t>
                  </w:r>
                </w:p>
                <w:p w:rsidR="00E92D98" w:rsidRPr="00826C1D" w:rsidRDefault="00E92D98" w:rsidP="00CE1021">
                  <w:pPr>
                    <w:rPr>
                      <w:szCs w:val="18"/>
                    </w:rPr>
                  </w:pPr>
                </w:p>
              </w:txbxContent>
            </v:textbox>
          </v:shape>
        </w:pict>
      </w:r>
    </w:p>
    <w:p w:rsidR="00CE1021" w:rsidRDefault="008E0DDB" w:rsidP="00CE1021">
      <w:pPr>
        <w:pStyle w:val="Corpodetexto"/>
        <w:spacing w:line="360" w:lineRule="auto"/>
        <w:jc w:val="center"/>
        <w:rPr>
          <w:rFonts w:ascii="Arial" w:hAnsi="Arial" w:cs="Arial"/>
          <w:b/>
          <w:bCs/>
          <w:color w:val="943634"/>
        </w:rPr>
      </w:pPr>
      <w:r>
        <w:rPr>
          <w:rFonts w:ascii="Arial" w:hAnsi="Arial" w:cs="Arial"/>
          <w:b/>
          <w:bCs/>
          <w:noProof/>
          <w:color w:val="943634"/>
        </w:rPr>
        <w:pict>
          <v:shape id="_x0000_s1254" type="#_x0000_t202" style="position:absolute;left:0;text-align:left;margin-left:-21.25pt;margin-top:1.65pt;width:55.9pt;height:27.85pt;z-index:-251721216;mso-width-relative:margin;mso-height-relative:margin" fillcolor="#d8d8d8" strokecolor="white">
            <v:textbox style="mso-next-textbox:#_x0000_s1254">
              <w:txbxContent>
                <w:p w:rsidR="00E92D98" w:rsidRPr="003B0F70" w:rsidRDefault="00E92D98" w:rsidP="00CE1021">
                  <w:pPr>
                    <w:spacing w:before="40"/>
                    <w:rPr>
                      <w:sz w:val="16"/>
                      <w:szCs w:val="16"/>
                    </w:rPr>
                  </w:pPr>
                  <w:r w:rsidRPr="003B0F70">
                    <w:rPr>
                      <w:rFonts w:ascii="Arial" w:hAnsi="Arial" w:cs="Arial"/>
                      <w:b/>
                      <w:bCs/>
                      <w:color w:val="943634"/>
                      <w:sz w:val="16"/>
                      <w:szCs w:val="16"/>
                    </w:rPr>
                    <w:t>Grandeza/ Parâmetro</w:t>
                  </w:r>
                </w:p>
              </w:txbxContent>
            </v:textbox>
          </v:shape>
        </w:pict>
      </w:r>
      <w:r>
        <w:rPr>
          <w:rFonts w:ascii="Arial" w:hAnsi="Arial" w:cs="Arial"/>
          <w:b/>
          <w:bCs/>
          <w:noProof/>
          <w:color w:val="943634"/>
        </w:rPr>
        <w:pict>
          <v:shape id="_x0000_s1256" type="#_x0000_t202" style="position:absolute;left:0;text-align:left;margin-left:46.65pt;margin-top:1.65pt;width:463pt;height:27.85pt;z-index:-251720192;mso-width-relative:margin;mso-height-relative:margin" fillcolor="#d8d8d8" strokecolor="white">
            <v:textbox style="mso-next-textbox:#_x0000_s1256">
              <w:txbxContent>
                <w:p w:rsidR="00E92D98" w:rsidRPr="009750F4" w:rsidRDefault="00E92D98" w:rsidP="00CE1021">
                  <w:pPr>
                    <w:spacing w:before="60"/>
                    <w:jc w:val="center"/>
                    <w:rPr>
                      <w:sz w:val="16"/>
                      <w:szCs w:val="16"/>
                    </w:rPr>
                  </w:pPr>
                  <w:r w:rsidRPr="009750F4">
                    <w:rPr>
                      <w:rFonts w:ascii="Arial" w:hAnsi="Arial" w:cs="Arial"/>
                      <w:b/>
                      <w:bCs/>
                      <w:color w:val="943634"/>
                      <w:sz w:val="16"/>
                      <w:szCs w:val="16"/>
                    </w:rPr>
                    <w:t>Apresentação dos dados                                                       Comentário</w:t>
                  </w:r>
                </w:p>
              </w:txbxContent>
            </v:textbox>
          </v:shape>
        </w:pict>
      </w:r>
    </w:p>
    <w:p w:rsidR="00CE1021" w:rsidRDefault="008E0DDB" w:rsidP="00CE1021">
      <w:pPr>
        <w:jc w:val="both"/>
        <w:rPr>
          <w:rFonts w:ascii="Arial" w:hAnsi="Arial" w:cs="Arial"/>
          <w:b/>
          <w:noProof/>
          <w:sz w:val="20"/>
          <w:szCs w:val="20"/>
        </w:rPr>
      </w:pPr>
      <w:r w:rsidRPr="008E0DDB">
        <w:rPr>
          <w:rFonts w:ascii="Arial" w:hAnsi="Arial" w:cs="Arial"/>
          <w:b/>
          <w:bCs/>
          <w:noProof/>
          <w:color w:val="943634"/>
          <w:sz w:val="20"/>
          <w:szCs w:val="20"/>
          <w:lang w:eastAsia="en-US"/>
        </w:rPr>
        <w:pict>
          <v:shape id="_x0000_s1190" type="#_x0000_t202" style="position:absolute;left:0;text-align:left;margin-left:-21.75pt;margin-top:14.65pt;width:55.9pt;height:201pt;z-index:251647488;mso-width-relative:margin;mso-height-relative:margin" strokecolor="#f2f2f2">
            <v:textbox style="layout-flow:vertical;mso-layout-flow-alt:bottom-to-top;mso-next-textbox:#_x0000_s1190">
              <w:txbxContent>
                <w:p w:rsidR="00E92D98" w:rsidRPr="005454AE" w:rsidRDefault="00E92D98" w:rsidP="00CE1021">
                  <w:pPr>
                    <w:spacing w:before="120" w:line="360" w:lineRule="auto"/>
                    <w:jc w:val="center"/>
                    <w:rPr>
                      <w:rFonts w:ascii="Arial" w:hAnsi="Arial" w:cs="Arial"/>
                      <w:sz w:val="16"/>
                      <w:szCs w:val="16"/>
                    </w:rPr>
                  </w:pPr>
                  <w:r w:rsidRPr="005454AE">
                    <w:rPr>
                      <w:rFonts w:ascii="Arial" w:hAnsi="Arial" w:cs="Arial"/>
                      <w:b/>
                      <w:sz w:val="16"/>
                      <w:szCs w:val="16"/>
                    </w:rPr>
                    <w:t>FM.05-B. Exploração animal - Bovinocultura,  Avicultura e Suinocultura (nº de animais)</w:t>
                  </w:r>
                </w:p>
              </w:txbxContent>
            </v:textbox>
          </v:shape>
        </w:pict>
      </w:r>
      <w:r>
        <w:rPr>
          <w:rFonts w:ascii="Arial" w:hAnsi="Arial" w:cs="Arial"/>
          <w:b/>
          <w:noProof/>
          <w:sz w:val="20"/>
          <w:szCs w:val="20"/>
        </w:rPr>
        <w:pict>
          <v:shape id="_x0000_s1191" type="#_x0000_t202" style="position:absolute;left:0;text-align:left;margin-left:301.65pt;margin-top:17.25pt;width:206.05pt;height:198.4pt;z-index:251648512;mso-width-relative:margin;mso-height-relative:margin" strokecolor="#f2f2f2">
            <v:textbox style="mso-next-textbox:#_x0000_s1191">
              <w:txbxContent>
                <w:p w:rsidR="00E92D98" w:rsidRPr="00C30914" w:rsidRDefault="00E92D98" w:rsidP="00CE1021">
                  <w:pPr>
                    <w:spacing w:line="240" w:lineRule="atLeast"/>
                    <w:jc w:val="center"/>
                    <w:rPr>
                      <w:rFonts w:ascii="Arial" w:hAnsi="Arial" w:cs="Arial"/>
                      <w:b/>
                      <w:sz w:val="16"/>
                      <w:szCs w:val="16"/>
                    </w:rPr>
                  </w:pPr>
                  <w:r w:rsidRPr="00E65C4F">
                    <w:rPr>
                      <w:rFonts w:ascii="Arial" w:hAnsi="Arial" w:cs="Arial"/>
                      <w:sz w:val="16"/>
                      <w:szCs w:val="16"/>
                    </w:rPr>
                    <w:t xml:space="preserve">A exploração em bovinocultura na UGRHI-08 aumentou de 259.411 em 2008 para 289.789 em 2010. Destaque para Batatais com 26.800 animais e Patrocínio Paulista com 26.425 animais. Em relação a avicultura o numero de animais diminui de 18.857.601 para 15.853.833, representando 8% do total do Estado de São Paulo. Na suinocultura o numero de animais passou de 32.023 para 45.963, destacando-se Cristais Paulista com 14.400 e Batatais com 7.000 (SEADE,2010). Ressalta-se que a avicultura apresentou decréscimo, não compatível com a realidade da bacia. </w:t>
                  </w:r>
                  <w:r w:rsidRPr="00C30914">
                    <w:rPr>
                      <w:rFonts w:ascii="Arial" w:hAnsi="Arial" w:cs="Arial"/>
                      <w:b/>
                      <w:sz w:val="16"/>
                      <w:szCs w:val="16"/>
                    </w:rPr>
                    <w:t>Assim, observando a tendência de crescimento dos três setores, principalmente suinocultura, deverão ser elaboradas ações  para a gestão dos efluentes, que deverão ter tratamento adequado.</w:t>
                  </w:r>
                </w:p>
              </w:txbxContent>
            </v:textbox>
          </v:shape>
        </w:pict>
      </w:r>
    </w:p>
    <w:p w:rsidR="00CE1021" w:rsidRDefault="008E0DDB" w:rsidP="00CE1021">
      <w:pPr>
        <w:jc w:val="both"/>
        <w:rPr>
          <w:rFonts w:ascii="Arial" w:hAnsi="Arial" w:cs="Arial"/>
          <w:b/>
          <w:noProof/>
          <w:sz w:val="20"/>
          <w:szCs w:val="20"/>
        </w:rPr>
      </w:pPr>
      <w:r>
        <w:rPr>
          <w:rFonts w:ascii="Arial" w:hAnsi="Arial" w:cs="Arial"/>
          <w:b/>
          <w:noProof/>
          <w:sz w:val="20"/>
          <w:szCs w:val="20"/>
        </w:rPr>
        <w:pict>
          <v:shape id="_x0000_s1198" type="#_x0000_t202" style="position:absolute;left:0;text-align:left;margin-left:40pt;margin-top:8.7pt;width:249.35pt;height:168.2pt;z-index:251655680;mso-wrap-style:none;mso-width-relative:margin;mso-height-relative:margin" strokecolor="white">
            <v:textbox style="mso-next-textbox:#_x0000_s1198">
              <w:txbxContent>
                <w:p w:rsidR="00E92D98" w:rsidRPr="00252C84" w:rsidRDefault="00E92D98" w:rsidP="00CE1021">
                  <w:r>
                    <w:rPr>
                      <w:noProof/>
                    </w:rPr>
                    <w:drawing>
                      <wp:inline distT="0" distB="0" distL="0" distR="0">
                        <wp:extent cx="2873006" cy="1956391"/>
                        <wp:effectExtent l="19050" t="0" r="22594" b="5759"/>
                        <wp:docPr id="34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w:r>
      <w:r w:rsidR="00CE1021">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30914" w:rsidRDefault="00C30914"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92" type="#_x0000_t202" style="position:absolute;left:0;text-align:left;margin-left:-21.75pt;margin-top:7.65pt;width:55.9pt;height:121.5pt;z-index:251649536;mso-width-relative:margin;mso-height-relative:margin" strokecolor="#f2f2f2">
            <v:textbox style="layout-flow:vertical;mso-layout-flow-alt:bottom-to-top;mso-next-textbox:#_x0000_s1192">
              <w:txbxContent>
                <w:p w:rsidR="00E92D98" w:rsidRPr="00E65C4F" w:rsidRDefault="00E92D98" w:rsidP="00CE1021">
                  <w:pPr>
                    <w:spacing w:before="120" w:line="360" w:lineRule="auto"/>
                    <w:jc w:val="center"/>
                    <w:rPr>
                      <w:rFonts w:ascii="Arial" w:hAnsi="Arial" w:cs="Arial"/>
                      <w:b/>
                      <w:sz w:val="16"/>
                      <w:szCs w:val="16"/>
                    </w:rPr>
                  </w:pPr>
                  <w:r w:rsidRPr="00E65C4F">
                    <w:rPr>
                      <w:rFonts w:ascii="Arial" w:hAnsi="Arial" w:cs="Arial"/>
                      <w:b/>
                      <w:sz w:val="16"/>
                      <w:szCs w:val="16"/>
                    </w:rPr>
                    <w:t>FM.06-B. Quantidade de estabelecimentos industriais (nº)</w:t>
                  </w:r>
                </w:p>
              </w:txbxContent>
            </v:textbox>
          </v:shape>
        </w:pict>
      </w:r>
      <w:r>
        <w:rPr>
          <w:rFonts w:ascii="Arial" w:hAnsi="Arial" w:cs="Arial"/>
          <w:b/>
          <w:noProof/>
          <w:sz w:val="20"/>
          <w:szCs w:val="20"/>
        </w:rPr>
        <w:pict>
          <v:shape id="_x0000_s1193" type="#_x0000_t202" style="position:absolute;left:0;text-align:left;margin-left:301.65pt;margin-top:7.65pt;width:206.05pt;height:121.5pt;z-index:251650560;mso-width-relative:margin;mso-height-relative:margin" strokecolor="#f2f2f2">
            <v:textbox style="mso-next-textbox:#_x0000_s1193">
              <w:txbxContent>
                <w:p w:rsidR="00E92D98" w:rsidRPr="00C30914" w:rsidRDefault="00E92D98" w:rsidP="00CE1021">
                  <w:pPr>
                    <w:spacing w:line="240" w:lineRule="atLeast"/>
                    <w:jc w:val="center"/>
                    <w:rPr>
                      <w:rFonts w:ascii="Arial" w:hAnsi="Arial" w:cs="Arial"/>
                      <w:b/>
                      <w:sz w:val="16"/>
                      <w:szCs w:val="16"/>
                    </w:rPr>
                  </w:pPr>
                  <w:r w:rsidRPr="00E65C4F">
                    <w:rPr>
                      <w:rFonts w:ascii="Arial" w:hAnsi="Arial" w:cs="Arial"/>
                      <w:sz w:val="16"/>
                      <w:szCs w:val="16"/>
                    </w:rPr>
                    <w:t xml:space="preserve">Está em continuo crescimento o numero de estabelecimentos industriais na UGRHI-08, com aumento de 61 estabelecimentos de 2008 a 2010. A bacia representa 3,35% do total de estabelecimentos do Estado (98.959). Destaca-se Franca como pólo industrial com 2.657, representando 80%, das 3.314 industrias da bacia. </w:t>
                  </w:r>
                  <w:r w:rsidRPr="00C30914">
                    <w:rPr>
                      <w:rFonts w:ascii="Arial" w:hAnsi="Arial" w:cs="Arial"/>
                      <w:b/>
                      <w:sz w:val="16"/>
                      <w:szCs w:val="16"/>
                    </w:rPr>
                    <w:t>Para a gestão sugerimos implantação de políticas de uso racional da água, reuso da água e tratamento de efluentes.</w:t>
                  </w:r>
                </w:p>
              </w:txbxContent>
            </v:textbox>
          </v:shape>
        </w:pict>
      </w:r>
      <w:r>
        <w:rPr>
          <w:rFonts w:ascii="Arial" w:hAnsi="Arial" w:cs="Arial"/>
          <w:b/>
          <w:noProof/>
          <w:sz w:val="20"/>
          <w:szCs w:val="20"/>
        </w:rPr>
        <w:pict>
          <v:shape id="_x0000_s1197" type="#_x0000_t202" style="position:absolute;left:0;text-align:left;margin-left:40pt;margin-top:7.65pt;width:240.75pt;height:153.9pt;z-index:251654656;mso-wrap-style:none;mso-width-relative:margin;mso-height-relative:margin" strokecolor="white">
            <v:textbox style="mso-next-textbox:#_x0000_s1197;mso-fit-shape-to-text:t">
              <w:txbxContent>
                <w:p w:rsidR="00E92D98" w:rsidRPr="00252C84" w:rsidRDefault="00E92D98" w:rsidP="00CE1021">
                  <w:r>
                    <w:rPr>
                      <w:noProof/>
                    </w:rPr>
                    <w:drawing>
                      <wp:inline distT="0" distB="0" distL="0" distR="0">
                        <wp:extent cx="2727325" cy="1497965"/>
                        <wp:effectExtent l="0" t="0" r="0" b="0"/>
                        <wp:docPr id="34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194" type="#_x0000_t202" style="position:absolute;left:0;text-align:left;margin-left:-21.75pt;margin-top:16.7pt;width:55.9pt;height:130.4pt;z-index:251651584;mso-width-relative:margin;mso-height-relative:margin" strokecolor="#f2f2f2">
            <v:textbox style="layout-flow:vertical;mso-layout-flow-alt:bottom-to-top;mso-next-textbox:#_x0000_s1194">
              <w:txbxContent>
                <w:p w:rsidR="00E92D98" w:rsidRPr="00E65C4F" w:rsidRDefault="00E92D98" w:rsidP="00CE1021">
                  <w:pPr>
                    <w:spacing w:before="60" w:line="360" w:lineRule="auto"/>
                    <w:jc w:val="center"/>
                    <w:rPr>
                      <w:rFonts w:ascii="Arial" w:hAnsi="Arial" w:cs="Arial"/>
                      <w:b/>
                      <w:sz w:val="16"/>
                      <w:szCs w:val="16"/>
                    </w:rPr>
                  </w:pPr>
                  <w:r w:rsidRPr="00E65C4F">
                    <w:rPr>
                      <w:rFonts w:ascii="Arial" w:hAnsi="Arial" w:cs="Arial"/>
                      <w:b/>
                      <w:sz w:val="16"/>
                      <w:szCs w:val="16"/>
                    </w:rPr>
                    <w:t>FM.06-C.Quantidade de estabelecimentos de mineração em geral (nº)</w:t>
                  </w:r>
                </w:p>
              </w:txbxContent>
            </v:textbox>
          </v:shape>
        </w:pict>
      </w:r>
      <w:r>
        <w:rPr>
          <w:rFonts w:ascii="Arial" w:hAnsi="Arial" w:cs="Arial"/>
          <w:b/>
          <w:noProof/>
          <w:sz w:val="20"/>
          <w:szCs w:val="20"/>
        </w:rPr>
        <w:pict>
          <v:shape id="_x0000_s1195" type="#_x0000_t202" style="position:absolute;left:0;text-align:left;margin-left:301.65pt;margin-top:16.7pt;width:206.05pt;height:130.4pt;z-index:251652608;mso-width-relative:margin;mso-height-relative:margin" strokecolor="#f2f2f2">
            <v:textbox style="mso-next-textbox:#_x0000_s1195">
              <w:txbxContent>
                <w:p w:rsidR="00E92D98" w:rsidRPr="00E65C4F" w:rsidRDefault="00E92D98" w:rsidP="00CE1021">
                  <w:pPr>
                    <w:spacing w:line="240" w:lineRule="atLeast"/>
                    <w:jc w:val="center"/>
                    <w:rPr>
                      <w:rFonts w:ascii="Arial" w:hAnsi="Arial" w:cs="Arial"/>
                      <w:sz w:val="16"/>
                      <w:szCs w:val="16"/>
                    </w:rPr>
                  </w:pPr>
                  <w:r w:rsidRPr="004548CC">
                    <w:rPr>
                      <w:rFonts w:ascii="Arial" w:hAnsi="Arial" w:cs="Arial"/>
                      <w:sz w:val="16"/>
                      <w:szCs w:val="16"/>
                    </w:rPr>
                    <w:t>A quantidade de estabelecimentos de mineração diminuiu de 18 em 2008 para 14 em 2009. Dos oito municípios que apresentam estabelecimentos de mineração, Batatais (1), Guaíra (1), Guará (3), Patrocínio Paulista (1), Pedregulho (3), Restinga (4), São Joaquim da Barra (1). A redução aconteceu em Igarapava que apresentava 4 e em 2009 zerou o numero de estabelecimentos (CPRM, agosto de 2010). Para a gestão dos recursos hídricos cabe a recuperação das áreas degradadas pela atividade.</w:t>
                  </w:r>
                </w:p>
              </w:txbxContent>
            </v:textbox>
          </v:shape>
        </w:pict>
      </w:r>
      <w:r>
        <w:rPr>
          <w:rFonts w:ascii="Arial" w:hAnsi="Arial" w:cs="Arial"/>
          <w:b/>
          <w:noProof/>
          <w:sz w:val="20"/>
          <w:szCs w:val="20"/>
        </w:rPr>
        <w:pict>
          <v:shape id="_x0000_s1196" type="#_x0000_t202" style="position:absolute;left:0;text-align:left;margin-left:40pt;margin-top:16.7pt;width:237.3pt;height:161.75pt;z-index:251653632;mso-wrap-style:none;mso-width-relative:margin;mso-height-relative:margin" strokecolor="white">
            <v:textbox style="mso-next-textbox:#_x0000_s1196;mso-fit-shape-to-text:t">
              <w:txbxContent>
                <w:p w:rsidR="00E92D98" w:rsidRPr="00252C84" w:rsidRDefault="00E92D98" w:rsidP="00CE1021">
                  <w:r>
                    <w:rPr>
                      <w:noProof/>
                    </w:rPr>
                    <w:drawing>
                      <wp:inline distT="0" distB="0" distL="0" distR="0">
                        <wp:extent cx="2817628" cy="1573618"/>
                        <wp:effectExtent l="0" t="0" r="0" b="0"/>
                        <wp:docPr id="34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37" type="#_x0000_t202" style="position:absolute;left:0;text-align:left;margin-left:40pt;margin-top:16.7pt;width:237.3pt;height:153pt;z-index:251695616;mso-width-relative:margin;mso-height-relative:margin" fillcolor="#cfc" strokecolor="white">
            <v:textbox style="mso-next-textbox:#_x0000_s1237">
              <w:txbxContent>
                <w:p w:rsidR="00E92D98" w:rsidRDefault="00E92D98" w:rsidP="00CE1021"/>
                <w:p w:rsidR="00E92D98" w:rsidRDefault="00E92D98" w:rsidP="00CE1021"/>
                <w:p w:rsidR="00E92D98" w:rsidRDefault="00E92D98" w:rsidP="00CE1021">
                  <w:pPr>
                    <w:jc w:val="center"/>
                    <w:rPr>
                      <w:rFonts w:ascii="Verdana" w:hAnsi="Verdana" w:cs="Arial"/>
                      <w:b/>
                      <w:sz w:val="18"/>
                      <w:szCs w:val="18"/>
                    </w:rPr>
                  </w:pPr>
                </w:p>
                <w:p w:rsidR="00E92D98" w:rsidRDefault="00E92D98" w:rsidP="00CE1021">
                  <w:pPr>
                    <w:jc w:val="center"/>
                    <w:rPr>
                      <w:rFonts w:ascii="Verdana" w:hAnsi="Verdana" w:cs="Arial"/>
                      <w:b/>
                      <w:sz w:val="18"/>
                      <w:szCs w:val="18"/>
                    </w:rPr>
                  </w:pPr>
                </w:p>
                <w:p w:rsidR="00E92D98" w:rsidRPr="00A4757D" w:rsidRDefault="00E92D98" w:rsidP="00CE1021">
                  <w:pPr>
                    <w:jc w:val="center"/>
                    <w:rPr>
                      <w:rFonts w:ascii="Verdana" w:hAnsi="Verdana" w:cs="Arial"/>
                      <w:b/>
                      <w:sz w:val="18"/>
                      <w:szCs w:val="18"/>
                    </w:rPr>
                  </w:pPr>
                  <w:r w:rsidRPr="00A4757D">
                    <w:rPr>
                      <w:rFonts w:ascii="Verdana" w:hAnsi="Verdana" w:cs="Arial"/>
                      <w:b/>
                      <w:sz w:val="18"/>
                      <w:szCs w:val="18"/>
                    </w:rPr>
                    <w:t>2010: 0 estabelecimentos de extração de água mineral</w:t>
                  </w:r>
                </w:p>
              </w:txbxContent>
            </v:textbox>
          </v:shape>
        </w:pict>
      </w:r>
      <w:r>
        <w:rPr>
          <w:rFonts w:ascii="Arial" w:hAnsi="Arial" w:cs="Arial"/>
          <w:b/>
          <w:noProof/>
          <w:sz w:val="20"/>
          <w:szCs w:val="20"/>
        </w:rPr>
        <w:pict>
          <v:shape id="_x0000_s1236" type="#_x0000_t202" style="position:absolute;left:0;text-align:left;margin-left:301.65pt;margin-top:16.7pt;width:208pt;height:153pt;z-index:251694592;mso-width-relative:margin;mso-height-relative:margin" strokecolor="#f2f2f2">
            <v:textbox style="mso-next-textbox:#_x0000_s1236">
              <w:txbxContent>
                <w:p w:rsidR="00E92D98" w:rsidRDefault="00E92D98" w:rsidP="00CE1021">
                  <w:pPr>
                    <w:spacing w:line="240" w:lineRule="atLeast"/>
                    <w:jc w:val="center"/>
                    <w:rPr>
                      <w:rFonts w:ascii="Arial" w:hAnsi="Arial" w:cs="Arial"/>
                      <w:sz w:val="16"/>
                      <w:szCs w:val="16"/>
                    </w:rPr>
                  </w:pPr>
                </w:p>
                <w:p w:rsidR="00E92D98" w:rsidRPr="004548CC" w:rsidRDefault="00E92D98" w:rsidP="00CE1021">
                  <w:pPr>
                    <w:spacing w:line="240" w:lineRule="atLeast"/>
                    <w:jc w:val="center"/>
                    <w:rPr>
                      <w:rFonts w:ascii="Arial" w:hAnsi="Arial" w:cs="Arial"/>
                      <w:sz w:val="16"/>
                      <w:szCs w:val="16"/>
                    </w:rPr>
                  </w:pPr>
                  <w:r w:rsidRPr="004548CC">
                    <w:rPr>
                      <w:rFonts w:ascii="Arial" w:hAnsi="Arial" w:cs="Arial"/>
                      <w:sz w:val="16"/>
                      <w:szCs w:val="16"/>
                    </w:rPr>
                    <w:t>Segundo a CPRM, em toda a Bacia Hidrográfica dos rios Sapucaí Mirim/Grande são inexistentes estabelecimentos de extração de água mineral,  (CPRM, agosto de 2010). Entretanto, este índice indica a necessidade de atualização do cadastro, uma vez, que é de co</w:t>
                  </w:r>
                  <w:r>
                    <w:rPr>
                      <w:rFonts w:ascii="Arial" w:hAnsi="Arial" w:cs="Arial"/>
                      <w:sz w:val="16"/>
                      <w:szCs w:val="16"/>
                    </w:rPr>
                    <w:t xml:space="preserve">nhecimento do CBH-SMG </w:t>
                  </w:r>
                  <w:r w:rsidRPr="004548CC">
                    <w:rPr>
                      <w:rFonts w:ascii="Arial" w:hAnsi="Arial" w:cs="Arial"/>
                      <w:sz w:val="16"/>
                      <w:szCs w:val="16"/>
                    </w:rPr>
                    <w:t>que o município de Restinga tem 1 estabelecimento de extração de água mineral licenciado pela CETESB no ano d</w:t>
                  </w:r>
                  <w:r>
                    <w:rPr>
                      <w:rFonts w:ascii="Arial" w:hAnsi="Arial" w:cs="Arial"/>
                      <w:sz w:val="16"/>
                      <w:szCs w:val="16"/>
                    </w:rPr>
                    <w:t>e</w:t>
                  </w:r>
                  <w:r w:rsidRPr="004548CC">
                    <w:rPr>
                      <w:rFonts w:ascii="Arial" w:hAnsi="Arial" w:cs="Arial"/>
                      <w:sz w:val="16"/>
                      <w:szCs w:val="16"/>
                    </w:rPr>
                    <w:t xml:space="preserve"> 2010.  </w:t>
                  </w:r>
                </w:p>
                <w:p w:rsidR="00E92D98" w:rsidRDefault="00E92D98" w:rsidP="00CE1021">
                  <w:pPr>
                    <w:jc w:val="center"/>
                    <w:rPr>
                      <w:rFonts w:ascii="Verdana" w:hAnsi="Verdana"/>
                      <w:sz w:val="16"/>
                      <w:szCs w:val="16"/>
                    </w:rPr>
                  </w:pPr>
                </w:p>
                <w:p w:rsidR="00E92D98" w:rsidRDefault="00E92D98" w:rsidP="00CE1021">
                  <w:pPr>
                    <w:jc w:val="center"/>
                    <w:rPr>
                      <w:rFonts w:ascii="Verdana" w:hAnsi="Verdana"/>
                      <w:sz w:val="16"/>
                      <w:szCs w:val="16"/>
                    </w:rPr>
                  </w:pPr>
                </w:p>
                <w:p w:rsidR="00E92D98" w:rsidRDefault="00E92D98" w:rsidP="00CE1021">
                  <w:pPr>
                    <w:jc w:val="center"/>
                    <w:rPr>
                      <w:rFonts w:ascii="Verdana" w:hAnsi="Verdana"/>
                      <w:sz w:val="16"/>
                      <w:szCs w:val="16"/>
                    </w:rPr>
                  </w:pPr>
                </w:p>
              </w:txbxContent>
            </v:textbox>
          </v:shape>
        </w:pict>
      </w:r>
      <w:r w:rsidRPr="008E0DDB">
        <w:rPr>
          <w:rFonts w:ascii="Arial" w:hAnsi="Arial" w:cs="Arial"/>
          <w:b/>
          <w:bCs/>
          <w:noProof/>
          <w:color w:val="943634"/>
          <w:sz w:val="20"/>
          <w:szCs w:val="20"/>
          <w:lang w:eastAsia="en-US"/>
        </w:rPr>
        <w:pict>
          <v:shape id="_x0000_s1235" type="#_x0000_t202" style="position:absolute;left:0;text-align:left;margin-left:-21.75pt;margin-top:16.7pt;width:55.9pt;height:156.9pt;z-index:251693568;mso-width-relative:margin;mso-height-relative:margin" strokecolor="#f2f2f2">
            <v:textbox style="layout-flow:vertical;mso-layout-flow-alt:bottom-to-top;mso-next-textbox:#_x0000_s1235">
              <w:txbxContent>
                <w:p w:rsidR="00E92D98" w:rsidRPr="002174D7" w:rsidRDefault="00E92D98" w:rsidP="00CE1021">
                  <w:pPr>
                    <w:spacing w:before="60" w:line="360" w:lineRule="auto"/>
                    <w:jc w:val="center"/>
                    <w:rPr>
                      <w:szCs w:val="20"/>
                    </w:rPr>
                  </w:pPr>
                  <w:r w:rsidRPr="002174D7">
                    <w:rPr>
                      <w:rFonts w:ascii="Arial" w:hAnsi="Arial" w:cs="Arial"/>
                      <w:b/>
                      <w:sz w:val="16"/>
                      <w:szCs w:val="16"/>
                    </w:rPr>
                    <w:t>FM.06-D - Quantidade de estabelecimentos de extração de água mineral (n°) (CPRM, 2009)</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Pr="00754DAA" w:rsidRDefault="00CE1021" w:rsidP="00CE1021">
      <w:pPr>
        <w:pStyle w:val="Corpodetexto"/>
        <w:spacing w:line="360" w:lineRule="auto"/>
        <w:jc w:val="center"/>
        <w:rPr>
          <w:rFonts w:ascii="Arial" w:hAnsi="Arial" w:cs="Arial"/>
          <w:b/>
          <w:bCs/>
          <w:color w:val="943634"/>
          <w:sz w:val="20"/>
          <w:szCs w:val="20"/>
        </w:rPr>
      </w:pPr>
    </w:p>
    <w:p w:rsidR="00CE1021" w:rsidRPr="00F53996" w:rsidRDefault="00CE1021" w:rsidP="00CE1021">
      <w:pPr>
        <w:rPr>
          <w:rFonts w:ascii="Arial" w:hAnsi="Arial" w:cs="Arial"/>
          <w:b/>
          <w:bCs/>
          <w:color w:val="943634"/>
          <w:sz w:val="20"/>
          <w:szCs w:val="20"/>
        </w:rPr>
      </w:pPr>
      <w:r w:rsidRPr="00754DAA">
        <w:rPr>
          <w:rFonts w:ascii="Arial" w:hAnsi="Arial" w:cs="Arial"/>
          <w:b/>
          <w:bCs/>
          <w:color w:val="943634"/>
          <w:sz w:val="20"/>
          <w:szCs w:val="20"/>
        </w:rPr>
        <w:t xml:space="preserve">                                       </w:t>
      </w:r>
    </w:p>
    <w:p w:rsidR="00CE1021" w:rsidRPr="00190436" w:rsidRDefault="00CE1021" w:rsidP="00CE1021">
      <w:pPr>
        <w:jc w:val="both"/>
        <w:rPr>
          <w:rFonts w:ascii="Arial" w:hAnsi="Arial" w:cs="Arial"/>
          <w:b/>
          <w:bCs/>
          <w:color w:val="943634"/>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bCs/>
          <w:color w:val="943634"/>
          <w:sz w:val="20"/>
          <w:szCs w:val="20"/>
        </w:rPr>
      </w:pPr>
      <w:r>
        <w:rPr>
          <w:rFonts w:ascii="Arial" w:hAnsi="Arial" w:cs="Arial"/>
          <w:b/>
          <w:bCs/>
          <w:noProof/>
          <w:color w:val="943634"/>
          <w:sz w:val="20"/>
          <w:szCs w:val="20"/>
        </w:rPr>
        <w:lastRenderedPageBreak/>
        <w:pict>
          <v:shape id="_x0000_s1257" type="#_x0000_t202" style="position:absolute;left:0;text-align:left;margin-left:-21.5pt;margin-top:20.45pt;width:55.9pt;height:27.85pt;z-index:-251719168;mso-width-relative:margin;mso-height-relative:margin" fillcolor="#d8d8d8" strokecolor="white">
            <v:textbox style="mso-next-textbox:#_x0000_s1257">
              <w:txbxContent>
                <w:p w:rsidR="00E92D98" w:rsidRPr="003B0F70" w:rsidRDefault="00E92D98" w:rsidP="00CE1021">
                  <w:pPr>
                    <w:spacing w:before="40"/>
                    <w:rPr>
                      <w:sz w:val="16"/>
                      <w:szCs w:val="16"/>
                    </w:rPr>
                  </w:pPr>
                  <w:r w:rsidRPr="003B0F70">
                    <w:rPr>
                      <w:rFonts w:ascii="Arial" w:hAnsi="Arial" w:cs="Arial"/>
                      <w:b/>
                      <w:bCs/>
                      <w:color w:val="943634"/>
                      <w:sz w:val="16"/>
                      <w:szCs w:val="16"/>
                    </w:rPr>
                    <w:t>Grandeza/ Parâmetro</w:t>
                  </w:r>
                </w:p>
              </w:txbxContent>
            </v:textbox>
          </v:shape>
        </w:pict>
      </w:r>
      <w:r>
        <w:rPr>
          <w:rFonts w:ascii="Arial" w:hAnsi="Arial" w:cs="Arial"/>
          <w:b/>
          <w:bCs/>
          <w:noProof/>
          <w:color w:val="943634"/>
          <w:sz w:val="20"/>
          <w:szCs w:val="20"/>
        </w:rPr>
        <w:pict>
          <v:shape id="_x0000_s1258" type="#_x0000_t202" style="position:absolute;left:0;text-align:left;margin-left:-21.5pt;margin-top:-6.2pt;width:530.9pt;height:20.2pt;z-index:-251718144;mso-width-relative:margin;mso-height-relative:margin" fillcolor="#d8d8d8" strokecolor="white">
            <v:textbox style="mso-next-textbox:#_x0000_s1258">
              <w:txbxContent>
                <w:p w:rsidR="00E92D98" w:rsidRDefault="00E92D98" w:rsidP="00CE1021">
                  <w:pPr>
                    <w:jc w:val="center"/>
                    <w:rPr>
                      <w:rFonts w:ascii="Arial" w:hAnsi="Arial" w:cs="Arial"/>
                      <w:b/>
                      <w:bCs/>
                      <w:color w:val="943634"/>
                      <w:sz w:val="20"/>
                      <w:szCs w:val="20"/>
                    </w:rPr>
                  </w:pPr>
                  <w:r w:rsidRPr="00BF0F80">
                    <w:rPr>
                      <w:rFonts w:ascii="Arial" w:hAnsi="Arial" w:cs="Arial"/>
                      <w:b/>
                      <w:bCs/>
                      <w:color w:val="943634"/>
                      <w:sz w:val="20"/>
                      <w:szCs w:val="20"/>
                    </w:rPr>
                    <w:t xml:space="preserve">FORÇA MOTRIZ: Dinâmica </w:t>
                  </w:r>
                  <w:r>
                    <w:rPr>
                      <w:rFonts w:ascii="Arial" w:hAnsi="Arial" w:cs="Arial"/>
                      <w:b/>
                      <w:bCs/>
                      <w:color w:val="943634"/>
                      <w:sz w:val="20"/>
                      <w:szCs w:val="20"/>
                    </w:rPr>
                    <w:t>Econômica</w:t>
                  </w:r>
                </w:p>
                <w:p w:rsidR="00E92D98" w:rsidRPr="00826C1D" w:rsidRDefault="00E92D98" w:rsidP="00CE1021">
                  <w:pPr>
                    <w:rPr>
                      <w:szCs w:val="18"/>
                    </w:rPr>
                  </w:pPr>
                </w:p>
              </w:txbxContent>
            </v:textbox>
          </v:shape>
        </w:pict>
      </w:r>
      <w:r>
        <w:rPr>
          <w:rFonts w:ascii="Arial" w:hAnsi="Arial" w:cs="Arial"/>
          <w:b/>
          <w:bCs/>
          <w:noProof/>
          <w:color w:val="943634"/>
          <w:sz w:val="20"/>
          <w:szCs w:val="20"/>
        </w:rPr>
        <w:pict>
          <v:shape id="_x0000_s1259" type="#_x0000_t202" style="position:absolute;left:0;text-align:left;margin-left:46.4pt;margin-top:20.45pt;width:463pt;height:27.85pt;z-index:-251717120;mso-width-relative:margin;mso-height-relative:margin" fillcolor="#d8d8d8" strokecolor="white">
            <v:textbox style="mso-next-textbox:#_x0000_s1259">
              <w:txbxContent>
                <w:p w:rsidR="00E92D98" w:rsidRPr="009750F4" w:rsidRDefault="00E92D98" w:rsidP="00CE1021">
                  <w:pPr>
                    <w:spacing w:before="60"/>
                    <w:rPr>
                      <w:sz w:val="16"/>
                      <w:szCs w:val="16"/>
                    </w:rPr>
                  </w:pPr>
                  <w:r>
                    <w:rPr>
                      <w:rFonts w:ascii="Arial" w:hAnsi="Arial" w:cs="Arial"/>
                      <w:b/>
                      <w:bCs/>
                      <w:color w:val="943634"/>
                      <w:sz w:val="18"/>
                      <w:szCs w:val="18"/>
                    </w:rPr>
                    <w:t xml:space="preserve">                       </w:t>
                  </w:r>
                  <w:r w:rsidRPr="009750F4">
                    <w:rPr>
                      <w:rFonts w:ascii="Arial" w:hAnsi="Arial" w:cs="Arial"/>
                      <w:b/>
                      <w:bCs/>
                      <w:color w:val="943634"/>
                      <w:sz w:val="16"/>
                      <w:szCs w:val="16"/>
                    </w:rPr>
                    <w:t>Apresentação dos dados 2007 – 2009                                                  Comentário</w:t>
                  </w:r>
                </w:p>
              </w:txbxContent>
            </v:textbox>
          </v:shape>
        </w:pict>
      </w:r>
    </w:p>
    <w:p w:rsidR="00CE1021" w:rsidRDefault="00CE1021" w:rsidP="00CE1021">
      <w:pPr>
        <w:pStyle w:val="Corpodetexto"/>
        <w:spacing w:line="360" w:lineRule="auto"/>
        <w:rPr>
          <w:rFonts w:ascii="Arial" w:hAnsi="Arial" w:cs="Arial"/>
          <w:b/>
          <w:bCs/>
          <w:color w:val="943634"/>
          <w:sz w:val="20"/>
          <w:szCs w:val="20"/>
        </w:rPr>
      </w:pPr>
      <w:r w:rsidRPr="00190436">
        <w:rPr>
          <w:rFonts w:ascii="Arial" w:hAnsi="Arial" w:cs="Arial"/>
          <w:b/>
          <w:bCs/>
          <w:color w:val="943634"/>
          <w:sz w:val="20"/>
          <w:szCs w:val="20"/>
        </w:rPr>
        <w:t xml:space="preserve"> </w:t>
      </w:r>
      <w:r w:rsidRPr="00F53996">
        <w:rPr>
          <w:rFonts w:ascii="Arial" w:hAnsi="Arial" w:cs="Arial"/>
          <w:b/>
          <w:bCs/>
          <w:color w:val="943634"/>
          <w:sz w:val="20"/>
          <w:szCs w:val="20"/>
        </w:rPr>
        <w:t xml:space="preserve">                                      </w:t>
      </w:r>
    </w:p>
    <w:p w:rsidR="00CE1021" w:rsidRDefault="00CE1021" w:rsidP="00CE1021">
      <w:pPr>
        <w:pStyle w:val="Corpodetexto"/>
        <w:spacing w:line="360" w:lineRule="auto"/>
        <w:rPr>
          <w:rFonts w:ascii="Arial" w:hAnsi="Arial" w:cs="Arial"/>
          <w:b/>
          <w:bCs/>
          <w:color w:val="943634"/>
          <w:sz w:val="20"/>
          <w:szCs w:val="20"/>
        </w:rPr>
      </w:pPr>
    </w:p>
    <w:p w:rsidR="00CE1021" w:rsidRPr="00190436" w:rsidRDefault="008E0DDB" w:rsidP="00CE1021">
      <w:pPr>
        <w:pStyle w:val="Corpodetexto"/>
        <w:spacing w:line="360" w:lineRule="auto"/>
        <w:rPr>
          <w:rFonts w:ascii="Arial" w:hAnsi="Arial" w:cs="Arial"/>
          <w:b/>
          <w:bCs/>
          <w:color w:val="943634"/>
          <w:sz w:val="20"/>
          <w:szCs w:val="20"/>
        </w:rPr>
      </w:pPr>
      <w:r w:rsidRPr="008E0DDB">
        <w:rPr>
          <w:rFonts w:ascii="Arial" w:hAnsi="Arial" w:cs="Arial"/>
          <w:b/>
          <w:noProof/>
          <w:sz w:val="20"/>
          <w:szCs w:val="20"/>
        </w:rPr>
        <w:pict>
          <v:shape id="_x0000_s1200" type="#_x0000_t202" style="position:absolute;left:0;text-align:left;margin-left:303.2pt;margin-top:.55pt;width:206.45pt;height:141.6pt;z-index:251657728;mso-width-relative:margin;mso-height-relative:margin" strokecolor="#f2f2f2">
            <v:textbox style="mso-next-textbox:#_x0000_s1200">
              <w:txbxContent>
                <w:p w:rsidR="00E92D98" w:rsidRPr="00022CDB" w:rsidRDefault="00E92D98" w:rsidP="00253875">
                  <w:pPr>
                    <w:spacing w:line="240" w:lineRule="atLeast"/>
                    <w:rPr>
                      <w:rFonts w:ascii="Arial" w:hAnsi="Arial" w:cs="Arial"/>
                      <w:sz w:val="16"/>
                      <w:szCs w:val="16"/>
                    </w:rPr>
                  </w:pPr>
                  <w:r w:rsidRPr="00022CDB">
                    <w:rPr>
                      <w:rFonts w:ascii="Arial" w:hAnsi="Arial" w:cs="Arial"/>
                      <w:sz w:val="16"/>
                      <w:szCs w:val="16"/>
                    </w:rPr>
                    <w:t>O número de estabelecimentos comerciais estabilizou de 2007 a 2008, apresentando aumento de 90% para o ano de 2010. Dois municípios da UGRHI 08 superaram a média estadual, que é de 570 estabelecimentos comerciais por município (SEADE, 2010): Batatais (580) e Franca (4237). São Joaquim da Barra ( 522) apresenta índice pouco abaixo da média estadual (SEADE, 2010). Observa-se a tendência de concentração de comércio em Franca necessitando de gestão quanto a captação de água e disposição de resíduos.</w:t>
                  </w:r>
                </w:p>
              </w:txbxContent>
            </v:textbox>
          </v:shape>
        </w:pict>
      </w:r>
      <w:r w:rsidRPr="008E0DDB">
        <w:rPr>
          <w:rFonts w:ascii="Arial" w:hAnsi="Arial" w:cs="Arial"/>
          <w:b/>
          <w:noProof/>
          <w:sz w:val="20"/>
          <w:szCs w:val="20"/>
        </w:rPr>
        <w:pict>
          <v:shape id="_x0000_s1203" type="#_x0000_t202" style="position:absolute;left:0;text-align:left;margin-left:34.65pt;margin-top:.55pt;width:231.15pt;height:141.6pt;z-index:251660800;mso-wrap-style:none;mso-width-relative:margin;mso-height-relative:margin" strokecolor="white">
            <v:textbox style="mso-next-textbox:#_x0000_s1203;mso-fit-shape-to-text:t">
              <w:txbxContent>
                <w:p w:rsidR="00E92D98" w:rsidRPr="00252C84" w:rsidRDefault="00E92D98" w:rsidP="00CE1021">
                  <w:r>
                    <w:rPr>
                      <w:noProof/>
                    </w:rPr>
                    <w:drawing>
                      <wp:inline distT="0" distB="0" distL="0" distR="0">
                        <wp:extent cx="3125972" cy="1669311"/>
                        <wp:effectExtent l="0" t="0" r="0" b="0"/>
                        <wp:docPr id="35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w:r>
      <w:r>
        <w:rPr>
          <w:rFonts w:ascii="Arial" w:hAnsi="Arial" w:cs="Arial"/>
          <w:b/>
          <w:bCs/>
          <w:noProof/>
          <w:color w:val="943634"/>
          <w:sz w:val="20"/>
          <w:szCs w:val="20"/>
          <w:lang w:eastAsia="en-US"/>
        </w:rPr>
        <w:pict>
          <v:shape id="_x0000_s1199" type="#_x0000_t202" style="position:absolute;left:0;text-align:left;margin-left:-21.25pt;margin-top:.55pt;width:55.65pt;height:141.6pt;z-index:251656704;mso-width-relative:margin;mso-height-relative:margin" strokecolor="#f2f2f2">
            <v:textbox style="layout-flow:vertical;mso-layout-flow-alt:bottom-to-top;mso-next-textbox:#_x0000_s1199">
              <w:txbxContent>
                <w:p w:rsidR="00E92D98" w:rsidRPr="0092512F" w:rsidRDefault="00E92D98" w:rsidP="00CE1021">
                  <w:pPr>
                    <w:spacing w:before="120" w:line="360" w:lineRule="auto"/>
                    <w:jc w:val="center"/>
                    <w:rPr>
                      <w:rFonts w:ascii="Arial" w:hAnsi="Arial" w:cs="Arial"/>
                      <w:b/>
                      <w:sz w:val="16"/>
                      <w:szCs w:val="16"/>
                    </w:rPr>
                  </w:pPr>
                  <w:r w:rsidRPr="0092512F">
                    <w:rPr>
                      <w:rFonts w:ascii="Arial" w:hAnsi="Arial" w:cs="Arial"/>
                      <w:b/>
                      <w:sz w:val="16"/>
                      <w:szCs w:val="16"/>
                    </w:rPr>
                    <w:t>FM.07-A  – Quantidade de estabelecimentos de comércio (n°)</w:t>
                  </w:r>
                </w:p>
              </w:txbxContent>
            </v:textbox>
          </v:shape>
        </w:pict>
      </w:r>
    </w:p>
    <w:p w:rsidR="00CE1021" w:rsidRDefault="00CE1021" w:rsidP="00CE1021">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02" type="#_x0000_t202" style="position:absolute;left:0;text-align:left;margin-left:42pt;margin-top:13.3pt;width:238.6pt;height:140.7pt;z-index:251659776;mso-wrap-style:none;mso-width-relative:margin;mso-height-relative:margin" strokecolor="white">
            <v:textbox style="mso-next-textbox:#_x0000_s1202">
              <w:txbxContent>
                <w:p w:rsidR="00E92D98" w:rsidRPr="00252C84" w:rsidRDefault="00E92D98" w:rsidP="00CE1021">
                  <w:r>
                    <w:rPr>
                      <w:noProof/>
                    </w:rPr>
                    <w:drawing>
                      <wp:inline distT="0" distB="0" distL="0" distR="0">
                        <wp:extent cx="3125972" cy="1701210"/>
                        <wp:effectExtent l="0" t="0" r="0" b="0"/>
                        <wp:docPr id="35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w:r>
      <w:r>
        <w:rPr>
          <w:rFonts w:ascii="Arial" w:hAnsi="Arial" w:cs="Arial"/>
          <w:b/>
          <w:noProof/>
          <w:sz w:val="20"/>
          <w:szCs w:val="20"/>
        </w:rPr>
        <w:pict>
          <v:shape id="_x0000_s1243" type="#_x0000_t202" style="position:absolute;left:0;text-align:left;margin-left:303.2pt;margin-top:13.3pt;width:206.6pt;height:141pt;z-index:251701760;mso-width-relative:margin;mso-height-relative:margin" strokecolor="#f2f2f2">
            <v:textbox style="mso-next-textbox:#_x0000_s1243">
              <w:txbxContent>
                <w:p w:rsidR="00E92D98" w:rsidRPr="004C4FBC" w:rsidRDefault="00E92D98" w:rsidP="00CE1021">
                  <w:pPr>
                    <w:spacing w:line="240" w:lineRule="atLeast"/>
                    <w:jc w:val="center"/>
                    <w:rPr>
                      <w:rFonts w:ascii="Arial" w:hAnsi="Arial" w:cs="Arial"/>
                      <w:sz w:val="16"/>
                      <w:szCs w:val="16"/>
                    </w:rPr>
                  </w:pPr>
                  <w:r w:rsidRPr="004C4FBC">
                    <w:rPr>
                      <w:rFonts w:ascii="Arial" w:hAnsi="Arial" w:cs="Arial"/>
                      <w:sz w:val="16"/>
                      <w:szCs w:val="16"/>
                    </w:rPr>
                    <w:t>A UGRHI 08 apresenta uma média de crescimento no número de estabelecimentos de serviços de 90% no período de 2008 a 2010. Vinte e um municípios mantiveram-se abaixo da média estadual de 541 no ano de 2010. Destacando-se o município de Franca, como o único município acima desta média com 2457 estabelecimentos de serviços. (SEADE, 2010). Observa-se a tendência de concentração de estabelecimentos de serviços em Franca, necessitando de gestão quanto ao uso racional da água, coleta seletiva e disposição de resíduos.</w:t>
                  </w:r>
                </w:p>
              </w:txbxContent>
            </v:textbox>
          </v:shape>
        </w:pict>
      </w:r>
      <w:r>
        <w:rPr>
          <w:rFonts w:ascii="Arial" w:hAnsi="Arial" w:cs="Arial"/>
          <w:b/>
          <w:noProof/>
          <w:sz w:val="20"/>
          <w:szCs w:val="20"/>
        </w:rPr>
        <w:pict>
          <v:shape id="_x0000_s1201" type="#_x0000_t202" style="position:absolute;left:0;text-align:left;margin-left:-21pt;margin-top:9.55pt;width:55.65pt;height:144.75pt;z-index:251658752;mso-width-relative:margin;mso-height-relative:margin" strokecolor="#f2f2f2">
            <v:textbox style="layout-flow:vertical;mso-layout-flow-alt:bottom-to-top;mso-next-textbox:#_x0000_s1201">
              <w:txbxContent>
                <w:p w:rsidR="00E92D98" w:rsidRPr="004C4FBC" w:rsidRDefault="00E92D98" w:rsidP="00CE1021">
                  <w:pPr>
                    <w:spacing w:before="120" w:line="360" w:lineRule="auto"/>
                    <w:jc w:val="center"/>
                    <w:rPr>
                      <w:rFonts w:ascii="Arial" w:hAnsi="Arial" w:cs="Arial"/>
                      <w:b/>
                      <w:sz w:val="16"/>
                      <w:szCs w:val="16"/>
                    </w:rPr>
                  </w:pPr>
                  <w:r w:rsidRPr="004C4FBC">
                    <w:rPr>
                      <w:rFonts w:ascii="Arial" w:hAnsi="Arial" w:cs="Arial"/>
                      <w:b/>
                      <w:sz w:val="16"/>
                      <w:szCs w:val="16"/>
                    </w:rPr>
                    <w:t>FM.07-B – Quantidade de estabelecimentos de serviços (n°)</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44" type="#_x0000_t202" style="position:absolute;left:0;text-align:left;margin-left:-21pt;margin-top:6.6pt;width:55.9pt;height:178.7pt;z-index:251702784;mso-width-relative:margin;mso-height-relative:margin" strokecolor="#f2f2f2">
            <v:textbox style="layout-flow:vertical;mso-layout-flow-alt:bottom-to-top;mso-next-textbox:#_x0000_s1244">
              <w:txbxContent>
                <w:p w:rsidR="00E92D98" w:rsidRPr="004C4FBC" w:rsidRDefault="00E92D98" w:rsidP="00CE1021">
                  <w:pPr>
                    <w:spacing w:before="120" w:line="360" w:lineRule="auto"/>
                    <w:jc w:val="center"/>
                    <w:rPr>
                      <w:rFonts w:ascii="Arial" w:hAnsi="Arial" w:cs="Arial"/>
                      <w:b/>
                      <w:sz w:val="16"/>
                      <w:szCs w:val="16"/>
                    </w:rPr>
                  </w:pPr>
                  <w:r w:rsidRPr="004C4FBC">
                    <w:rPr>
                      <w:rFonts w:ascii="Arial" w:hAnsi="Arial" w:cs="Arial"/>
                      <w:b/>
                      <w:sz w:val="16"/>
                      <w:szCs w:val="16"/>
                    </w:rPr>
                    <w:t>FM.09-A – Potencia de energia hidrelétrica instalada (kw)</w:t>
                  </w:r>
                </w:p>
              </w:txbxContent>
            </v:textbox>
          </v:shape>
        </w:pict>
      </w:r>
      <w:r>
        <w:rPr>
          <w:rFonts w:ascii="Arial" w:hAnsi="Arial" w:cs="Arial"/>
          <w:b/>
          <w:noProof/>
          <w:sz w:val="20"/>
          <w:szCs w:val="20"/>
        </w:rPr>
        <w:pict>
          <v:shape id="_x0000_s1248" type="#_x0000_t202" style="position:absolute;left:0;text-align:left;margin-left:42pt;margin-top:6.6pt;width:232.85pt;height:158pt;z-index:251706880;mso-wrap-style:none;mso-width-relative:margin;mso-height-relative:margin" strokecolor="white">
            <v:textbox style="mso-next-textbox:#_x0000_s1248;mso-fit-shape-to-text:t">
              <w:txbxContent>
                <w:p w:rsidR="00E92D98" w:rsidRPr="0074078A" w:rsidRDefault="00E92D98" w:rsidP="00CE1021">
                  <w:pPr>
                    <w:rPr>
                      <w:szCs w:val="16"/>
                    </w:rPr>
                  </w:pPr>
                  <w:r>
                    <w:rPr>
                      <w:noProof/>
                      <w:szCs w:val="16"/>
                    </w:rPr>
                    <w:drawing>
                      <wp:inline distT="0" distB="0" distL="0" distR="0">
                        <wp:extent cx="2759075" cy="2033905"/>
                        <wp:effectExtent l="0" t="0" r="0" b="0"/>
                        <wp:docPr id="35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w:r>
      <w:r>
        <w:rPr>
          <w:rFonts w:ascii="Arial" w:hAnsi="Arial" w:cs="Arial"/>
          <w:b/>
          <w:noProof/>
          <w:sz w:val="20"/>
          <w:szCs w:val="20"/>
        </w:rPr>
        <w:pict>
          <v:shape id="_x0000_s1245" type="#_x0000_t202" style="position:absolute;left:0;text-align:left;margin-left:302.95pt;margin-top:6.6pt;width:206.45pt;height:178.7pt;z-index:251703808;mso-width-relative:margin;mso-height-relative:margin" strokecolor="#f2f2f2">
            <v:textbox style="mso-next-textbox:#_x0000_s1245">
              <w:txbxContent>
                <w:p w:rsidR="00E92D98" w:rsidRPr="004C4FBC" w:rsidRDefault="00E92D98" w:rsidP="00CE1021">
                  <w:pPr>
                    <w:spacing w:line="240" w:lineRule="atLeast"/>
                    <w:jc w:val="center"/>
                    <w:rPr>
                      <w:rFonts w:ascii="Arial" w:hAnsi="Arial" w:cs="Arial"/>
                      <w:sz w:val="16"/>
                      <w:szCs w:val="16"/>
                    </w:rPr>
                  </w:pPr>
                  <w:r w:rsidRPr="004C4FBC">
                    <w:rPr>
                      <w:rFonts w:ascii="Arial" w:hAnsi="Arial" w:cs="Arial"/>
                      <w:sz w:val="16"/>
                      <w:szCs w:val="16"/>
                    </w:rPr>
                    <w:t>A Bacia dos rios Sapucaí Mirim/Grande destaca-se como a quarta maior produtora de energia com 2.431.190 KW no estado de São Paulo, representando 13,18% de toda a produção do estado que é de 18.442.981 kW (ANEEL, 2008). Destacam-se na UGRHI-08 as Usinas Hidrelétricas no Rio Grande: Estreito, Jaguara, Volta Grande, Igarapava. Atualmente três PCH's operando na bacia do rio Sapucaí Mirim: Esmeril (rio Esmeril), Dos Dourados (rio Sapucaí), São Joaquim (rio Sapucaí). Futuramente, esse numero aumentará, tendo em vista, a implantação de mais quatro PCH's no rio Sapucaí Mirim: Palmeiras, Anhanguera, Retiro e Monjolinho.</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49" type="#_x0000_t202" style="position:absolute;left:0;text-align:left;margin-left:42pt;margin-top:12.8pt;width:198.3pt;height:114.75pt;z-index:251707904;mso-width-relative:margin;mso-height-relative:margin" strokecolor="white">
            <v:textbox style="mso-next-textbox:#_x0000_s1249">
              <w:txbxContent>
                <w:p w:rsidR="00E92D98" w:rsidRPr="0074078A" w:rsidRDefault="00E92D98" w:rsidP="00CE1021">
                  <w:pPr>
                    <w:rPr>
                      <w:szCs w:val="16"/>
                    </w:rPr>
                  </w:pPr>
                  <w:r>
                    <w:rPr>
                      <w:noProof/>
                      <w:szCs w:val="16"/>
                    </w:rPr>
                    <w:drawing>
                      <wp:inline distT="0" distB="0" distL="0" distR="0">
                        <wp:extent cx="2522220" cy="1450340"/>
                        <wp:effectExtent l="0" t="0" r="0" b="0"/>
                        <wp:docPr id="35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46" type="#_x0000_t202" style="position:absolute;left:0;text-align:left;margin-left:-21.5pt;margin-top:4.35pt;width:55.9pt;height:107.25pt;z-index:251704832;mso-width-relative:margin;mso-height-relative:margin" strokecolor="#f2f2f2">
            <v:textbox style="layout-flow:vertical;mso-layout-flow-alt:bottom-to-top;mso-next-textbox:#_x0000_s1246">
              <w:txbxContent>
                <w:p w:rsidR="00E92D98" w:rsidRPr="00A27ADF" w:rsidRDefault="00E92D98" w:rsidP="00CE1021">
                  <w:pPr>
                    <w:spacing w:before="60" w:line="360" w:lineRule="auto"/>
                    <w:jc w:val="center"/>
                    <w:rPr>
                      <w:rFonts w:ascii="Arial" w:hAnsi="Arial" w:cs="Arial"/>
                      <w:b/>
                      <w:sz w:val="16"/>
                      <w:szCs w:val="16"/>
                    </w:rPr>
                  </w:pPr>
                  <w:r w:rsidRPr="00A27ADF">
                    <w:rPr>
                      <w:rFonts w:ascii="Arial" w:hAnsi="Arial" w:cs="Arial"/>
                      <w:b/>
                      <w:sz w:val="16"/>
                      <w:szCs w:val="16"/>
                    </w:rPr>
                    <w:t>FM.09-B – Área inundada por reservatórios hidrelétricos (km²)</w:t>
                  </w:r>
                </w:p>
              </w:txbxContent>
            </v:textbox>
          </v:shape>
        </w:pict>
      </w:r>
      <w:r>
        <w:rPr>
          <w:rFonts w:ascii="Arial" w:hAnsi="Arial" w:cs="Arial"/>
          <w:b/>
          <w:noProof/>
          <w:sz w:val="20"/>
          <w:szCs w:val="20"/>
        </w:rPr>
        <w:pict>
          <v:shape id="_x0000_s1247" type="#_x0000_t202" style="position:absolute;left:0;text-align:left;margin-left:302.8pt;margin-top:4.35pt;width:206.6pt;height:99pt;z-index:251705856;mso-width-relative:margin;mso-height-relative:margin" strokecolor="#f2f2f2">
            <v:textbox style="mso-next-textbox:#_x0000_s1247">
              <w:txbxContent>
                <w:p w:rsidR="00E92D98" w:rsidRDefault="00E92D98" w:rsidP="00CE1021">
                  <w:pPr>
                    <w:jc w:val="center"/>
                    <w:rPr>
                      <w:rFonts w:ascii="Arial" w:hAnsi="Arial" w:cs="Arial"/>
                      <w:sz w:val="16"/>
                      <w:szCs w:val="16"/>
                    </w:rPr>
                  </w:pPr>
                </w:p>
                <w:p w:rsidR="00E92D98" w:rsidRDefault="00E92D98" w:rsidP="00CE1021">
                  <w:pPr>
                    <w:spacing w:line="240" w:lineRule="atLeast"/>
                    <w:jc w:val="center"/>
                    <w:rPr>
                      <w:rFonts w:ascii="Verdana" w:hAnsi="Verdana"/>
                      <w:sz w:val="16"/>
                      <w:szCs w:val="16"/>
                    </w:rPr>
                  </w:pPr>
                  <w:r w:rsidRPr="00A27ADF">
                    <w:rPr>
                      <w:rFonts w:ascii="Arial" w:hAnsi="Arial" w:cs="Arial"/>
                      <w:sz w:val="16"/>
                      <w:szCs w:val="16"/>
                    </w:rPr>
                    <w:t>A área inundada na Bacia dos rios Sapucaí Mirim/Grande representa 3,75 %, equivalente a 217 km2 de toda a área inundada do Estado de São Paulo, que é de 5.789,68 km2.</w:t>
                  </w:r>
                </w:p>
                <w:p w:rsidR="00E92D98" w:rsidRDefault="00E92D98" w:rsidP="00CE1021">
                  <w:pPr>
                    <w:jc w:val="center"/>
                    <w:rPr>
                      <w:rFonts w:ascii="Verdana" w:hAnsi="Verdana"/>
                      <w:sz w:val="16"/>
                      <w:szCs w:val="16"/>
                    </w:rPr>
                  </w:pP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253875" w:rsidP="00CE1021">
      <w:pPr>
        <w:pStyle w:val="Corpodetexto"/>
        <w:spacing w:line="360" w:lineRule="auto"/>
        <w:rPr>
          <w:rFonts w:ascii="Arial" w:hAnsi="Arial" w:cs="Arial"/>
          <w:b/>
          <w:noProof/>
          <w:sz w:val="20"/>
          <w:szCs w:val="20"/>
        </w:rPr>
      </w:pPr>
    </w:p>
    <w:p w:rsidR="00253875" w:rsidRDefault="00A444A0" w:rsidP="00CE1021">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A444A0" w:rsidRDefault="00A444A0" w:rsidP="00CE1021">
      <w:pPr>
        <w:pStyle w:val="Corpodetexto"/>
        <w:spacing w:line="360" w:lineRule="auto"/>
        <w:rPr>
          <w:rFonts w:ascii="Arial" w:hAnsi="Arial" w:cs="Arial"/>
          <w:b/>
          <w:noProof/>
          <w:sz w:val="20"/>
          <w:szCs w:val="20"/>
        </w:rPr>
      </w:pPr>
    </w:p>
    <w:p w:rsidR="00A444A0" w:rsidRDefault="00A444A0" w:rsidP="00CE1021">
      <w:pPr>
        <w:pStyle w:val="Corpodetexto"/>
        <w:spacing w:line="360" w:lineRule="auto"/>
        <w:rPr>
          <w:rFonts w:ascii="Arial" w:hAnsi="Arial" w:cs="Arial"/>
          <w:b/>
          <w:noProof/>
          <w:sz w:val="20"/>
          <w:szCs w:val="20"/>
        </w:rPr>
      </w:pPr>
    </w:p>
    <w:p w:rsidR="00A444A0" w:rsidRDefault="00A444A0" w:rsidP="00CE1021">
      <w:pPr>
        <w:pStyle w:val="Corpodetexto"/>
        <w:spacing w:line="360" w:lineRule="auto"/>
        <w:rPr>
          <w:rFonts w:ascii="Arial" w:hAnsi="Arial" w:cs="Arial"/>
          <w:b/>
          <w:noProof/>
          <w:sz w:val="20"/>
          <w:szCs w:val="20"/>
        </w:rPr>
      </w:pPr>
    </w:p>
    <w:p w:rsidR="00A444A0" w:rsidRDefault="00A444A0" w:rsidP="00CE1021">
      <w:pPr>
        <w:pStyle w:val="Corpodetexto"/>
        <w:spacing w:line="360" w:lineRule="auto"/>
        <w:rPr>
          <w:rFonts w:ascii="Arial" w:hAnsi="Arial" w:cs="Arial"/>
          <w:b/>
          <w:noProof/>
          <w:sz w:val="20"/>
          <w:szCs w:val="20"/>
        </w:rPr>
      </w:pPr>
    </w:p>
    <w:p w:rsidR="00A444A0" w:rsidRDefault="00A444A0" w:rsidP="00CE1021">
      <w:pPr>
        <w:pStyle w:val="Corpodetexto"/>
        <w:spacing w:line="360" w:lineRule="auto"/>
        <w:rPr>
          <w:rFonts w:ascii="Arial" w:hAnsi="Arial" w:cs="Arial"/>
          <w:b/>
          <w:noProof/>
          <w:sz w:val="20"/>
          <w:szCs w:val="20"/>
        </w:rPr>
      </w:pPr>
    </w:p>
    <w:p w:rsidR="00253875" w:rsidRDefault="00253875" w:rsidP="00A444A0">
      <w:pPr>
        <w:pStyle w:val="Corpodetexto"/>
        <w:numPr>
          <w:ilvl w:val="0"/>
          <w:numId w:val="10"/>
        </w:numPr>
        <w:spacing w:line="360" w:lineRule="auto"/>
        <w:jc w:val="right"/>
        <w:rPr>
          <w:rFonts w:ascii="Arial" w:hAnsi="Arial" w:cs="Arial"/>
          <w:b/>
          <w:noProof/>
          <w:sz w:val="28"/>
          <w:szCs w:val="28"/>
        </w:rPr>
      </w:pPr>
      <w:r>
        <w:rPr>
          <w:rFonts w:ascii="Arial" w:hAnsi="Arial" w:cs="Arial"/>
          <w:b/>
          <w:noProof/>
          <w:sz w:val="28"/>
          <w:szCs w:val="28"/>
        </w:rPr>
        <w:t>Pressão</w:t>
      </w:r>
    </w:p>
    <w:p w:rsidR="00A444A0" w:rsidRDefault="00A444A0" w:rsidP="00A444A0">
      <w:pPr>
        <w:pStyle w:val="Corpodetexto"/>
        <w:spacing w:line="360" w:lineRule="auto"/>
        <w:ind w:left="720"/>
        <w:rPr>
          <w:rFonts w:ascii="Arial" w:hAnsi="Arial" w:cs="Arial"/>
          <w:b/>
          <w:noProof/>
          <w:sz w:val="28"/>
          <w:szCs w:val="28"/>
        </w:rPr>
      </w:pPr>
    </w:p>
    <w:p w:rsidR="00A444A0" w:rsidRDefault="00A444A0" w:rsidP="00A444A0">
      <w:pPr>
        <w:pStyle w:val="Corpodetexto"/>
        <w:spacing w:line="360" w:lineRule="auto"/>
        <w:ind w:left="720"/>
        <w:rPr>
          <w:rFonts w:ascii="Arial" w:hAnsi="Arial" w:cs="Arial"/>
          <w:b/>
          <w:noProof/>
          <w:sz w:val="28"/>
          <w:szCs w:val="28"/>
        </w:rPr>
      </w:pPr>
    </w:p>
    <w:p w:rsidR="00A444A0" w:rsidRDefault="00A444A0" w:rsidP="00A444A0">
      <w:pPr>
        <w:pStyle w:val="Corpodetexto"/>
        <w:spacing w:line="360" w:lineRule="auto"/>
        <w:ind w:left="720"/>
        <w:rPr>
          <w:rFonts w:ascii="Arial" w:hAnsi="Arial" w:cs="Arial"/>
          <w:b/>
          <w:noProof/>
          <w:sz w:val="28"/>
          <w:szCs w:val="28"/>
        </w:rPr>
      </w:pPr>
    </w:p>
    <w:p w:rsidR="00A444A0" w:rsidRDefault="00A444A0" w:rsidP="00A444A0">
      <w:pPr>
        <w:pStyle w:val="Corpodetexto"/>
        <w:spacing w:line="360" w:lineRule="auto"/>
        <w:ind w:left="720"/>
        <w:rPr>
          <w:rFonts w:ascii="Arial" w:hAnsi="Arial" w:cs="Arial"/>
          <w:b/>
          <w:noProof/>
          <w:sz w:val="28"/>
          <w:szCs w:val="28"/>
        </w:rPr>
      </w:pPr>
    </w:p>
    <w:p w:rsidR="00A444A0" w:rsidRDefault="00A444A0" w:rsidP="00A444A0">
      <w:pPr>
        <w:pStyle w:val="Corpodetexto"/>
        <w:spacing w:line="360" w:lineRule="auto"/>
        <w:ind w:left="720"/>
        <w:rPr>
          <w:rFonts w:ascii="Arial" w:hAnsi="Arial" w:cs="Arial"/>
          <w:b/>
          <w:noProof/>
          <w:sz w:val="28"/>
          <w:szCs w:val="28"/>
        </w:rPr>
      </w:pPr>
    </w:p>
    <w:p w:rsidR="00A444A0" w:rsidRDefault="00A444A0" w:rsidP="00A444A0">
      <w:pPr>
        <w:pStyle w:val="Corpodetexto"/>
        <w:spacing w:line="360" w:lineRule="auto"/>
        <w:ind w:left="720"/>
        <w:rPr>
          <w:rFonts w:ascii="Arial" w:hAnsi="Arial" w:cs="Arial"/>
          <w:b/>
          <w:noProof/>
          <w:sz w:val="28"/>
          <w:szCs w:val="28"/>
        </w:rPr>
      </w:pP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lastRenderedPageBreak/>
        <w:pict>
          <v:shape id="_x0000_s1261" type="#_x0000_t202" style="position:absolute;left:0;text-align:left;margin-left:-21.5pt;margin-top:-3.2pt;width:530.9pt;height:20.2pt;z-index:-251716096;mso-width-relative:margin;mso-height-relative:margin" fillcolor="#d8d8d8" strokecolor="white">
            <v:textbox style="mso-next-textbox:#_x0000_s1261">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Demanda de Uso de Água</w:t>
                  </w:r>
                </w:p>
                <w:p w:rsidR="00E92D98" w:rsidRPr="00826C1D" w:rsidRDefault="00E92D98" w:rsidP="00CE1021">
                  <w:pPr>
                    <w:rPr>
                      <w:szCs w:val="18"/>
                    </w:rPr>
                  </w:pPr>
                </w:p>
              </w:txbxContent>
            </v:textbox>
          </v:shape>
        </w:pict>
      </w: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pict>
          <v:shape id="_x0000_s1260" type="#_x0000_t202" style="position:absolute;left:0;text-align:left;margin-left:-21.5pt;margin-top:2.75pt;width:55.9pt;height:27.85pt;z-index:-251715072;mso-width-relative:margin;mso-height-relative:margin" fillcolor="#d8d8d8" strokecolor="white">
            <v:textbox style="mso-next-textbox:#_x0000_s1260">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r>
        <w:rPr>
          <w:rFonts w:ascii="Arial" w:hAnsi="Arial" w:cs="Arial"/>
          <w:b/>
          <w:bCs/>
          <w:noProof/>
          <w:color w:val="E36C0A"/>
        </w:rPr>
        <w:pict>
          <v:shape id="_x0000_s1262" type="#_x0000_t202" style="position:absolute;left:0;text-align:left;margin-left:46.4pt;margin-top:2.75pt;width:463pt;height:27.85pt;z-index:-251714048;mso-width-relative:margin;mso-height-relative:margin" fillcolor="#d8d8d8" strokecolor="white">
            <v:textbox style="mso-next-textbox:#_x0000_s1262">
              <w:txbxContent>
                <w:p w:rsidR="00E92D98" w:rsidRPr="009750F4" w:rsidRDefault="00E92D98" w:rsidP="00CE1021">
                  <w:pPr>
                    <w:spacing w:before="60"/>
                    <w:rPr>
                      <w:color w:val="0070C0"/>
                      <w:sz w:val="16"/>
                      <w:szCs w:val="16"/>
                    </w:rPr>
                  </w:pPr>
                  <w:r>
                    <w:rPr>
                      <w:rFonts w:ascii="Arial" w:hAnsi="Arial" w:cs="Arial"/>
                      <w:b/>
                      <w:bCs/>
                      <w:color w:val="943634"/>
                      <w:sz w:val="18"/>
                      <w:szCs w:val="18"/>
                    </w:rPr>
                    <w:t xml:space="preserve">                        </w:t>
                  </w:r>
                  <w:r w:rsidRPr="009750F4">
                    <w:rPr>
                      <w:rFonts w:ascii="Arial" w:hAnsi="Arial" w:cs="Arial"/>
                      <w:b/>
                      <w:bCs/>
                      <w:color w:val="0070C0"/>
                      <w:sz w:val="16"/>
                      <w:szCs w:val="16"/>
                    </w:rPr>
                    <w:t>Apresentação dos dados                                                                           Comentário</w:t>
                  </w:r>
                </w:p>
              </w:txbxContent>
            </v:textbox>
          </v:shape>
        </w:pict>
      </w:r>
    </w:p>
    <w:p w:rsidR="00CE1021" w:rsidRDefault="008E0DDB" w:rsidP="00CE1021">
      <w:pPr>
        <w:pStyle w:val="Corpodetexto"/>
        <w:spacing w:line="360" w:lineRule="auto"/>
        <w:jc w:val="center"/>
        <w:rPr>
          <w:rFonts w:ascii="Arial" w:hAnsi="Arial" w:cs="Arial"/>
          <w:b/>
          <w:bCs/>
          <w:color w:val="E36C0A"/>
          <w:sz w:val="20"/>
          <w:szCs w:val="20"/>
        </w:rPr>
      </w:pPr>
      <w:r w:rsidRPr="008E0DDB">
        <w:rPr>
          <w:rFonts w:ascii="Arial" w:hAnsi="Arial" w:cs="Arial"/>
          <w:b/>
          <w:noProof/>
          <w:sz w:val="20"/>
          <w:szCs w:val="20"/>
        </w:rPr>
        <w:pict>
          <v:shape id="_x0000_s1205" type="#_x0000_t202" style="position:absolute;left:0;text-align:left;margin-left:302.2pt;margin-top:14.65pt;width:207.45pt;height:272.8pt;z-index:251662848;mso-width-relative:margin;mso-height-relative:margin" strokecolor="#f2f2f2">
            <v:textbox style="mso-next-textbox:#_x0000_s1205">
              <w:txbxContent>
                <w:p w:rsidR="00E92D98" w:rsidRPr="00C30914" w:rsidRDefault="00E92D98" w:rsidP="00CE1021">
                  <w:pPr>
                    <w:spacing w:line="240" w:lineRule="atLeast"/>
                    <w:jc w:val="center"/>
                    <w:rPr>
                      <w:rFonts w:ascii="Arial" w:hAnsi="Arial" w:cs="Arial"/>
                      <w:b/>
                      <w:sz w:val="16"/>
                      <w:szCs w:val="16"/>
                    </w:rPr>
                  </w:pPr>
                  <w:r w:rsidRPr="007A4473">
                    <w:rPr>
                      <w:rFonts w:ascii="Arial" w:hAnsi="Arial" w:cs="Arial"/>
                      <w:sz w:val="16"/>
                      <w:szCs w:val="16"/>
                    </w:rPr>
                    <w:t>A demanda superficial (79,48%) predomina sobre a demanda subterrânea (20,52%) em 2010. A UGRHI 08 possui uma demanda total de água que representa apenas 1,5% da demanda total estadual de 298 m³/s. O mesmo ocorre com a demanda de água superficial e subterrânea da UGRHI-08, que são respectivamente, 1,5% e 2,1%, em relação a demanda estadual de 251,98 e 45,0 m³/s. Destaca-se com maior demanda total de água o município de Guaíra com 1,12 m³/s (0,9m³/s - demanda superficial e 0,3m³/s - demanda subte</w:t>
                  </w:r>
                  <w:r>
                    <w:rPr>
                      <w:rFonts w:ascii="Arial" w:hAnsi="Arial" w:cs="Arial"/>
                      <w:sz w:val="16"/>
                      <w:szCs w:val="16"/>
                    </w:rPr>
                    <w:t>r</w:t>
                  </w:r>
                  <w:r w:rsidRPr="007A4473">
                    <w:rPr>
                      <w:rFonts w:ascii="Arial" w:hAnsi="Arial" w:cs="Arial"/>
                      <w:sz w:val="16"/>
                      <w:szCs w:val="16"/>
                    </w:rPr>
                    <w:t>rânea), que representa 23,9% da demanda total da UGRHI-08 (DAEE, 2010).Observa-se que o crescimento populacional e da economia influenciaram no aumento da deman</w:t>
                  </w:r>
                  <w:r>
                    <w:rPr>
                      <w:rFonts w:ascii="Arial" w:hAnsi="Arial" w:cs="Arial"/>
                      <w:sz w:val="16"/>
                      <w:szCs w:val="16"/>
                    </w:rPr>
                    <w:t>d</w:t>
                  </w:r>
                  <w:r w:rsidRPr="007A4473">
                    <w:rPr>
                      <w:rFonts w:ascii="Arial" w:hAnsi="Arial" w:cs="Arial"/>
                      <w:sz w:val="16"/>
                      <w:szCs w:val="16"/>
                    </w:rPr>
                    <w:t xml:space="preserve">a de água subterrânea que se mantinha estável entre os anos de 2007 e 2009. Outro fator que pode ter influenciado foi a cadastramento de poços realizado pelo DAEE. </w:t>
                  </w:r>
                  <w:r w:rsidRPr="00C30914">
                    <w:rPr>
                      <w:rFonts w:ascii="Arial" w:hAnsi="Arial" w:cs="Arial"/>
                      <w:b/>
                      <w:sz w:val="16"/>
                      <w:szCs w:val="16"/>
                    </w:rPr>
                    <w:t xml:space="preserve">Sugerimos para a gestão leis de proteção das áreas de afloramento dos aqüíferos, criação de áreas de proteção e recuperação de mananciais, redução de perdas e otimização do sistema de abastecimento.     </w:t>
                  </w:r>
                </w:p>
                <w:p w:rsidR="00E92D98" w:rsidRPr="00C30914" w:rsidRDefault="00E92D98" w:rsidP="00CE1021">
                  <w:pPr>
                    <w:jc w:val="center"/>
                    <w:rPr>
                      <w:rFonts w:ascii="Verdana" w:hAnsi="Verdana"/>
                      <w:b/>
                      <w:sz w:val="16"/>
                      <w:szCs w:val="16"/>
                    </w:rPr>
                  </w:pPr>
                </w:p>
              </w:txbxContent>
            </v:textbox>
          </v:shape>
        </w:pict>
      </w:r>
      <w:r w:rsidRPr="008E0DDB">
        <w:rPr>
          <w:rFonts w:ascii="Arial" w:hAnsi="Arial" w:cs="Arial"/>
          <w:b/>
          <w:bCs/>
          <w:noProof/>
          <w:color w:val="943634"/>
          <w:sz w:val="20"/>
          <w:szCs w:val="20"/>
          <w:lang w:eastAsia="en-US"/>
        </w:rPr>
        <w:pict>
          <v:shape id="_x0000_s1204" type="#_x0000_t202" style="position:absolute;left:0;text-align:left;margin-left:-21.25pt;margin-top:14.65pt;width:55.9pt;height:81pt;z-index:251661824;mso-width-relative:margin;mso-height-relative:margin" fillcolor="#ff6" strokecolor="#f2f2f2">
            <v:textbox style="layout-flow:vertical;mso-layout-flow-alt:bottom-to-top;mso-next-textbox:#_x0000_s1204">
              <w:txbxContent>
                <w:p w:rsidR="00E92D98" w:rsidRPr="007E7009" w:rsidRDefault="00E92D98" w:rsidP="00CE1021">
                  <w:pPr>
                    <w:spacing w:before="120" w:line="360" w:lineRule="auto"/>
                    <w:jc w:val="center"/>
                    <w:rPr>
                      <w:rFonts w:ascii="Arial" w:hAnsi="Arial" w:cs="Arial"/>
                      <w:b/>
                      <w:sz w:val="16"/>
                      <w:szCs w:val="16"/>
                    </w:rPr>
                  </w:pPr>
                  <w:r w:rsidRPr="007E7009">
                    <w:rPr>
                      <w:rFonts w:ascii="Arial" w:hAnsi="Arial" w:cs="Arial"/>
                      <w:b/>
                      <w:sz w:val="16"/>
                      <w:szCs w:val="16"/>
                    </w:rPr>
                    <w:t>P.01-A Demanda total de água  (m3/s)</w:t>
                  </w:r>
                </w:p>
              </w:txbxContent>
            </v:textbox>
          </v:shape>
        </w:pict>
      </w:r>
    </w:p>
    <w:p w:rsidR="00CE1021" w:rsidRDefault="008E0DDB" w:rsidP="00CE1021">
      <w:pPr>
        <w:pStyle w:val="Corpodetexto"/>
        <w:spacing w:line="360" w:lineRule="auto"/>
        <w:jc w:val="center"/>
        <w:rPr>
          <w:rFonts w:ascii="Arial" w:hAnsi="Arial" w:cs="Arial"/>
          <w:b/>
          <w:noProof/>
          <w:sz w:val="20"/>
          <w:szCs w:val="20"/>
        </w:rPr>
      </w:pPr>
      <w:r>
        <w:rPr>
          <w:rFonts w:ascii="Arial" w:hAnsi="Arial" w:cs="Arial"/>
          <w:b/>
          <w:noProof/>
          <w:sz w:val="20"/>
          <w:szCs w:val="20"/>
        </w:rPr>
        <w:pict>
          <v:shape id="_x0000_s1264" type="#_x0000_t202" style="position:absolute;left:0;text-align:left;margin-left:46.4pt;margin-top:7.35pt;width:249.95pt;height:290.8pt;z-index:-251713024;mso-width-relative:margin;mso-height-relative:margin" strokecolor="white">
            <v:textbox style="mso-next-textbox:#_x0000_s1264">
              <w:txbxContent>
                <w:p w:rsidR="00E92D98" w:rsidRPr="00252C84" w:rsidRDefault="00E92D98" w:rsidP="00CE1021">
                  <w:r>
                    <w:rPr>
                      <w:noProof/>
                    </w:rPr>
                    <w:drawing>
                      <wp:inline distT="0" distB="0" distL="0" distR="0">
                        <wp:extent cx="2979420" cy="3074035"/>
                        <wp:effectExtent l="0" t="0" r="0" b="0"/>
                        <wp:docPr id="35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w:r>
      <w:r w:rsidR="00CE1021" w:rsidRPr="00754DAA">
        <w:rPr>
          <w:rFonts w:ascii="Arial" w:hAnsi="Arial" w:cs="Arial"/>
          <w:b/>
          <w:bCs/>
          <w:color w:val="E36C0A"/>
          <w:sz w:val="20"/>
          <w:szCs w:val="20"/>
        </w:rPr>
        <w:t xml:space="preserve">                       </w:t>
      </w:r>
      <w:r w:rsidR="00CE1021">
        <w:rPr>
          <w:rFonts w:ascii="Arial" w:hAnsi="Arial" w:cs="Arial"/>
          <w:b/>
          <w:bCs/>
          <w:color w:val="E36C0A"/>
          <w:sz w:val="20"/>
          <w:szCs w:val="20"/>
        </w:rPr>
        <w:t xml:space="preserve">               </w:t>
      </w:r>
      <w:r w:rsidR="00CE1021">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06" type="#_x0000_t202" style="position:absolute;left:0;text-align:left;margin-left:-21.5pt;margin-top:16.15pt;width:55.9pt;height:86.25pt;z-index:251663872;mso-width-relative:margin;mso-height-relative:margin" fillcolor="#ff6" strokecolor="#f2f2f2">
            <v:textbox style="layout-flow:vertical;mso-layout-flow-alt:bottom-to-top;mso-next-textbox:#_x0000_s1206">
              <w:txbxContent>
                <w:p w:rsidR="00E92D98" w:rsidRPr="00070D47" w:rsidRDefault="00E92D98" w:rsidP="00CE1021">
                  <w:pPr>
                    <w:spacing w:before="60" w:line="360" w:lineRule="auto"/>
                    <w:jc w:val="center"/>
                    <w:rPr>
                      <w:rFonts w:ascii="Arial" w:hAnsi="Arial" w:cs="Arial"/>
                      <w:b/>
                      <w:sz w:val="16"/>
                      <w:szCs w:val="16"/>
                    </w:rPr>
                  </w:pPr>
                  <w:r w:rsidRPr="00070D47">
                    <w:rPr>
                      <w:rFonts w:ascii="Arial" w:hAnsi="Arial" w:cs="Arial"/>
                      <w:b/>
                      <w:sz w:val="16"/>
                      <w:szCs w:val="16"/>
                    </w:rPr>
                    <w:t>P.01-B Demanda de água superficial (m3/s)</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07" type="#_x0000_t202" style="position:absolute;left:0;text-align:left;margin-left:-21.25pt;margin-top:6.4pt;width:55.9pt;height:97.5pt;z-index:251664896;mso-width-relative:margin;mso-height-relative:margin" fillcolor="#ff6" strokecolor="#f2f2f2">
            <v:textbox style="layout-flow:vertical;mso-layout-flow-alt:bottom-to-top;mso-next-textbox:#_x0000_s1207">
              <w:txbxContent>
                <w:p w:rsidR="00E92D98" w:rsidRPr="00070D47" w:rsidRDefault="00E92D98" w:rsidP="00CE1021">
                  <w:pPr>
                    <w:spacing w:before="60" w:line="360" w:lineRule="auto"/>
                    <w:jc w:val="center"/>
                    <w:rPr>
                      <w:rFonts w:ascii="Arial" w:hAnsi="Arial" w:cs="Arial"/>
                      <w:b/>
                      <w:sz w:val="16"/>
                      <w:szCs w:val="16"/>
                    </w:rPr>
                  </w:pPr>
                  <w:r w:rsidRPr="00070D47">
                    <w:rPr>
                      <w:rFonts w:ascii="Arial" w:hAnsi="Arial" w:cs="Arial"/>
                      <w:b/>
                      <w:sz w:val="16"/>
                      <w:szCs w:val="16"/>
                    </w:rPr>
                    <w:t>P.01-C Demanda de água subterrânea (m3/s)</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08" type="#_x0000_t202" style="position:absolute;left:0;text-align:left;margin-left:-21.5pt;margin-top:9.45pt;width:55.9pt;height:79pt;z-index:251665920;mso-width-relative:margin;mso-height-relative:margin" fillcolor="#ff6" strokecolor="#f2f2f2">
            <v:textbox style="layout-flow:vertical;mso-layout-flow-alt:bottom-to-top;mso-next-textbox:#_x0000_s1208">
              <w:txbxContent>
                <w:p w:rsidR="00E92D98" w:rsidRPr="00A832CB" w:rsidRDefault="00E92D98" w:rsidP="00CE1021">
                  <w:pPr>
                    <w:spacing w:before="60" w:line="360" w:lineRule="auto"/>
                    <w:jc w:val="center"/>
                    <w:rPr>
                      <w:rFonts w:ascii="Arial" w:hAnsi="Arial" w:cs="Arial"/>
                      <w:b/>
                      <w:sz w:val="16"/>
                      <w:szCs w:val="16"/>
                    </w:rPr>
                  </w:pPr>
                  <w:r w:rsidRPr="00A832CB">
                    <w:rPr>
                      <w:rFonts w:ascii="Arial" w:hAnsi="Arial" w:cs="Arial"/>
                      <w:b/>
                      <w:sz w:val="16"/>
                      <w:szCs w:val="16"/>
                    </w:rPr>
                    <w:t>P.02-A Demanda urbana de água (m3/s)</w:t>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09" type="#_x0000_t202" style="position:absolute;left:0;text-align:left;margin-left:301.95pt;margin-top:.5pt;width:207.45pt;height:296.95pt;z-index:251666944;mso-width-relative:margin;mso-height-relative:margin" strokecolor="#f2f2f2">
            <v:textbox style="mso-next-textbox:#_x0000_s1209">
              <w:txbxContent>
                <w:p w:rsidR="00E92D98" w:rsidRPr="00C30914" w:rsidRDefault="00E92D98" w:rsidP="00CE1021">
                  <w:pPr>
                    <w:spacing w:line="240" w:lineRule="atLeast"/>
                    <w:jc w:val="center"/>
                    <w:rPr>
                      <w:rFonts w:ascii="Arial" w:hAnsi="Arial" w:cs="Arial"/>
                      <w:b/>
                      <w:sz w:val="16"/>
                      <w:szCs w:val="16"/>
                    </w:rPr>
                  </w:pPr>
                  <w:r w:rsidRPr="00A832CB">
                    <w:rPr>
                      <w:rFonts w:ascii="Arial" w:hAnsi="Arial" w:cs="Arial"/>
                      <w:sz w:val="16"/>
                      <w:szCs w:val="16"/>
                    </w:rPr>
                    <w:t xml:space="preserve">A demanda rural de água na Bacia destaca-se com 67,30%, contra 52,70% da demanda nos setores urbano, industrial e outros usos. Destaca-se Guaíra com a maior demanda rural da Bacia com 0,70 m³/s, sendo os demais municípios abaixo de 0,40 m³/s. A demanda industrial de água da UGRHI-08 é de 0,523 m³/s (DAEE, 2010), todavia 55% dos municípios da bacia não  apresentaram demanda industrial. Ressalta-se o município de Franca como pólo industrial da bacia, apresentando 0,005 m³/s de demanda industrial (DAEE,2010), significando inconsistência dos dados e necessidade de revisão de outorgas pelo DAEE. A demanda para outros usos de água (lazer, piscicultura, paisagismo), representa 2% da demanda total. O ponto crítico é o município de Guaíra onde a bacia </w:t>
                  </w:r>
                  <w:r>
                    <w:rPr>
                      <w:rFonts w:ascii="Arial" w:hAnsi="Arial" w:cs="Arial"/>
                      <w:sz w:val="16"/>
                      <w:szCs w:val="16"/>
                    </w:rPr>
                    <w:t>hidrográfica do Rib</w:t>
                  </w:r>
                  <w:r w:rsidRPr="00A832CB">
                    <w:rPr>
                      <w:rFonts w:ascii="Arial" w:hAnsi="Arial" w:cs="Arial"/>
                      <w:sz w:val="16"/>
                      <w:szCs w:val="16"/>
                    </w:rPr>
                    <w:t>e</w:t>
                  </w:r>
                  <w:r>
                    <w:rPr>
                      <w:rFonts w:ascii="Arial" w:hAnsi="Arial" w:cs="Arial"/>
                      <w:sz w:val="16"/>
                      <w:szCs w:val="16"/>
                    </w:rPr>
                    <w:t>i</w:t>
                  </w:r>
                  <w:r w:rsidRPr="00A832CB">
                    <w:rPr>
                      <w:rFonts w:ascii="Arial" w:hAnsi="Arial" w:cs="Arial"/>
                      <w:sz w:val="16"/>
                      <w:szCs w:val="16"/>
                    </w:rPr>
                    <w:t>rão do Jardim foi decretada crítica pela indisponibilidade hídrica superficial resultado do uso na irrigação, necessitando de gestão especial quanto ao conflito do uso da água para irrigação</w:t>
                  </w:r>
                  <w:r w:rsidRPr="00C30914">
                    <w:rPr>
                      <w:rFonts w:ascii="Arial" w:hAnsi="Arial" w:cs="Arial"/>
                      <w:b/>
                      <w:sz w:val="16"/>
                      <w:szCs w:val="16"/>
                    </w:rPr>
                    <w:t>. Sugestões para a gestão: otimização do sistema de irrigação, uso racional da água, associação de usuários de água, reuso da água industrial, atualização do  cadastro de outorgas do DAEE.</w:t>
                  </w:r>
                </w:p>
                <w:p w:rsidR="00E92D98" w:rsidRDefault="00E92D98" w:rsidP="00CE1021">
                  <w:pPr>
                    <w:jc w:val="center"/>
                    <w:rPr>
                      <w:rFonts w:ascii="Verdana" w:hAnsi="Verdana"/>
                      <w:sz w:val="16"/>
                      <w:szCs w:val="16"/>
                    </w:rPr>
                  </w:pPr>
                </w:p>
                <w:p w:rsidR="00E92D98" w:rsidRDefault="00E92D98" w:rsidP="00CE1021">
                  <w:pPr>
                    <w:jc w:val="center"/>
                    <w:rPr>
                      <w:rFonts w:ascii="Verdana" w:hAnsi="Verdana"/>
                      <w:sz w:val="16"/>
                      <w:szCs w:val="16"/>
                    </w:rPr>
                  </w:pP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63" type="#_x0000_t202" style="position:absolute;left:0;text-align:left;margin-left:46.4pt;margin-top:10.25pt;width:249.95pt;height:296.7pt;z-index:-251712000;mso-wrap-style:none;mso-width-relative:margin;mso-height-relative:margin" strokecolor="white">
            <v:textbox style="mso-next-textbox:#_x0000_s1263;mso-fit-shape-to-text:t">
              <w:txbxContent>
                <w:p w:rsidR="00E92D98" w:rsidRPr="00252C84" w:rsidRDefault="00E92D98" w:rsidP="00CE1021">
                  <w:r>
                    <w:rPr>
                      <w:noProof/>
                    </w:rPr>
                    <w:drawing>
                      <wp:inline distT="0" distB="0" distL="0" distR="0">
                        <wp:extent cx="2979420" cy="3484245"/>
                        <wp:effectExtent l="0" t="0" r="0" b="0"/>
                        <wp:docPr id="3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38" type="#_x0000_t202" style="position:absolute;left:0;text-align:left;margin-left:-21.5pt;margin-top:7.2pt;width:55.9pt;height:73.05pt;z-index:251696640;mso-width-relative:margin;mso-height-relative:margin" fillcolor="#ff6" strokecolor="#f2f2f2">
            <v:textbox style="layout-flow:vertical;mso-layout-flow-alt:bottom-to-top;mso-next-textbox:#_x0000_s1238">
              <w:txbxContent>
                <w:p w:rsidR="00E92D98" w:rsidRPr="00A832CB" w:rsidRDefault="00E92D98" w:rsidP="00CE1021">
                  <w:pPr>
                    <w:spacing w:before="60" w:line="240" w:lineRule="atLeast"/>
                    <w:jc w:val="center"/>
                    <w:rPr>
                      <w:rFonts w:ascii="Arial" w:hAnsi="Arial" w:cs="Arial"/>
                      <w:b/>
                      <w:sz w:val="16"/>
                      <w:szCs w:val="16"/>
                    </w:rPr>
                  </w:pPr>
                  <w:r w:rsidRPr="00A832CB">
                    <w:rPr>
                      <w:rFonts w:ascii="Arial" w:hAnsi="Arial" w:cs="Arial"/>
                      <w:b/>
                      <w:sz w:val="16"/>
                      <w:szCs w:val="16"/>
                    </w:rPr>
                    <w:t xml:space="preserve">P.02-B Demanda industrial de </w:t>
                  </w:r>
                </w:p>
                <w:p w:rsidR="00E92D98" w:rsidRPr="00A832CB" w:rsidRDefault="00E92D98" w:rsidP="00CE1021">
                  <w:pPr>
                    <w:spacing w:before="60" w:line="240" w:lineRule="atLeast"/>
                    <w:jc w:val="center"/>
                    <w:rPr>
                      <w:rFonts w:ascii="Arial" w:hAnsi="Arial" w:cs="Arial"/>
                      <w:b/>
                      <w:sz w:val="16"/>
                      <w:szCs w:val="16"/>
                    </w:rPr>
                  </w:pPr>
                  <w:r w:rsidRPr="00A832CB">
                    <w:rPr>
                      <w:rFonts w:ascii="Arial" w:hAnsi="Arial" w:cs="Arial"/>
                      <w:b/>
                      <w:sz w:val="16"/>
                      <w:szCs w:val="16"/>
                    </w:rPr>
                    <w:t>água (m3/s)</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39" type="#_x0000_t202" style="position:absolute;left:0;text-align:left;margin-left:-21.25pt;margin-top:1.95pt;width:55.9pt;height:75.2pt;z-index:251697664;mso-width-relative:margin;mso-height-relative:margin" fillcolor="#ff6" strokecolor="#f2f2f2">
            <v:textbox style="layout-flow:vertical;mso-layout-flow-alt:bottom-to-top;mso-next-textbox:#_x0000_s1239">
              <w:txbxContent>
                <w:p w:rsidR="00E92D98" w:rsidRPr="00A832CB" w:rsidRDefault="00E92D98" w:rsidP="00CE1021">
                  <w:pPr>
                    <w:spacing w:before="60" w:line="240" w:lineRule="atLeast"/>
                    <w:jc w:val="center"/>
                    <w:rPr>
                      <w:rFonts w:ascii="Arial" w:hAnsi="Arial" w:cs="Arial"/>
                      <w:b/>
                      <w:sz w:val="16"/>
                      <w:szCs w:val="16"/>
                    </w:rPr>
                  </w:pPr>
                  <w:r w:rsidRPr="00A832CB">
                    <w:rPr>
                      <w:rFonts w:ascii="Arial" w:hAnsi="Arial" w:cs="Arial"/>
                      <w:b/>
                      <w:sz w:val="16"/>
                      <w:szCs w:val="16"/>
                    </w:rPr>
                    <w:t>P.02-C Demanda rural de água (m3/s)</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Pr="003E3D27" w:rsidRDefault="008E0DDB" w:rsidP="00CE1021">
      <w:pPr>
        <w:pStyle w:val="Corpodetexto"/>
        <w:spacing w:line="360" w:lineRule="auto"/>
        <w:rPr>
          <w:rFonts w:ascii="Arial" w:hAnsi="Arial" w:cs="Arial"/>
          <w:noProof/>
          <w:sz w:val="20"/>
          <w:szCs w:val="20"/>
        </w:rPr>
      </w:pPr>
      <w:r w:rsidRPr="008E0DDB">
        <w:rPr>
          <w:rFonts w:ascii="Arial" w:hAnsi="Arial" w:cs="Arial"/>
          <w:b/>
          <w:noProof/>
          <w:sz w:val="20"/>
          <w:szCs w:val="20"/>
        </w:rPr>
        <w:pict>
          <v:shape id="_x0000_s1240" type="#_x0000_t202" style="position:absolute;left:0;text-align:left;margin-left:-21.25pt;margin-top:14.5pt;width:55.9pt;height:85.45pt;z-index:251698688;mso-width-relative:margin;mso-height-relative:margin" fillcolor="#ff6" strokecolor="#f2f2f2">
            <v:textbox style="layout-flow:vertical;mso-layout-flow-alt:bottom-to-top;mso-next-textbox:#_x0000_s1240">
              <w:txbxContent>
                <w:p w:rsidR="00E92D98" w:rsidRPr="00A832CB" w:rsidRDefault="00E92D98" w:rsidP="00CE1021">
                  <w:pPr>
                    <w:spacing w:before="60" w:line="240" w:lineRule="atLeast"/>
                    <w:jc w:val="center"/>
                    <w:rPr>
                      <w:rFonts w:ascii="Arial" w:hAnsi="Arial" w:cs="Arial"/>
                      <w:b/>
                      <w:sz w:val="16"/>
                      <w:szCs w:val="16"/>
                    </w:rPr>
                  </w:pPr>
                  <w:r w:rsidRPr="00A832CB">
                    <w:rPr>
                      <w:rFonts w:ascii="Arial" w:hAnsi="Arial" w:cs="Arial"/>
                      <w:b/>
                      <w:sz w:val="16"/>
                      <w:szCs w:val="16"/>
                    </w:rPr>
                    <w:t>P.02-D Demanda para Outros usos de água (m3/s)</w:t>
                  </w:r>
                </w:p>
              </w:txbxContent>
            </v:textbox>
          </v:shape>
        </w:pict>
      </w:r>
    </w:p>
    <w:p w:rsidR="00CE1021" w:rsidRPr="003E3D27" w:rsidRDefault="00CE1021" w:rsidP="00CE1021">
      <w:pPr>
        <w:pStyle w:val="Corpodetexto"/>
        <w:spacing w:line="360" w:lineRule="auto"/>
        <w:rPr>
          <w:rFonts w:ascii="Arial" w:hAnsi="Arial" w:cs="Arial"/>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bCs/>
          <w:color w:val="943634"/>
          <w:sz w:val="20"/>
          <w:szCs w:val="20"/>
        </w:rPr>
      </w:pPr>
      <w:r>
        <w:rPr>
          <w:rFonts w:ascii="Arial" w:hAnsi="Arial" w:cs="Arial"/>
          <w:b/>
          <w:bCs/>
          <w:noProof/>
          <w:color w:val="943634"/>
          <w:sz w:val="20"/>
          <w:szCs w:val="20"/>
        </w:rPr>
        <w:lastRenderedPageBreak/>
        <w:pict>
          <v:shape id="_x0000_s1266" type="#_x0000_t202" style="position:absolute;left:0;text-align:left;margin-left:-21.25pt;margin-top:-1.8pt;width:530.9pt;height:20.2pt;z-index:-251710976;mso-width-relative:margin;mso-height-relative:margin" fillcolor="#d8d8d8" strokecolor="white">
            <v:textbox style="mso-next-textbox:#_x0000_s1266">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Demanda de Uso de Água</w:t>
                  </w:r>
                </w:p>
                <w:p w:rsidR="00E92D98" w:rsidRPr="00826C1D" w:rsidRDefault="00E92D98" w:rsidP="00CE1021">
                  <w:pPr>
                    <w:rPr>
                      <w:szCs w:val="18"/>
                    </w:rPr>
                  </w:pPr>
                </w:p>
              </w:txbxContent>
            </v:textbox>
          </v:shape>
        </w:pict>
      </w:r>
    </w:p>
    <w:p w:rsidR="00CE1021" w:rsidRDefault="008E0DDB" w:rsidP="00CE1021">
      <w:pPr>
        <w:pStyle w:val="Corpodetexto"/>
        <w:spacing w:line="360" w:lineRule="auto"/>
        <w:rPr>
          <w:rFonts w:ascii="Arial" w:hAnsi="Arial" w:cs="Arial"/>
          <w:b/>
          <w:bCs/>
          <w:color w:val="943634"/>
          <w:sz w:val="20"/>
          <w:szCs w:val="20"/>
        </w:rPr>
      </w:pPr>
      <w:r>
        <w:rPr>
          <w:rFonts w:ascii="Arial" w:hAnsi="Arial" w:cs="Arial"/>
          <w:b/>
          <w:bCs/>
          <w:noProof/>
          <w:color w:val="943634"/>
          <w:sz w:val="20"/>
          <w:szCs w:val="20"/>
        </w:rPr>
        <w:pict>
          <v:shape id="_x0000_s1265" type="#_x0000_t202" style="position:absolute;left:0;text-align:left;margin-left:-21.25pt;margin-top:7.6pt;width:55.9pt;height:27.85pt;z-index:-251709952;mso-width-relative:margin;mso-height-relative:margin" fillcolor="#d8d8d8" strokecolor="white">
            <v:textbox style="mso-next-textbox:#_x0000_s1265">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r>
        <w:rPr>
          <w:rFonts w:ascii="Arial" w:hAnsi="Arial" w:cs="Arial"/>
          <w:b/>
          <w:bCs/>
          <w:noProof/>
          <w:color w:val="943634"/>
          <w:sz w:val="20"/>
          <w:szCs w:val="20"/>
        </w:rPr>
        <w:pict>
          <v:shape id="_x0000_s1267" type="#_x0000_t202" style="position:absolute;left:0;text-align:left;margin-left:46.65pt;margin-top:7.6pt;width:463pt;height:27.85pt;z-index:-251708928;mso-width-relative:margin;mso-height-relative:margin" fillcolor="#d8d8d8" strokecolor="white">
            <v:textbox style="mso-next-textbox:#_x0000_s1267">
              <w:txbxContent>
                <w:p w:rsidR="00E92D98" w:rsidRPr="009750F4" w:rsidRDefault="00E92D98" w:rsidP="00CE1021">
                  <w:pPr>
                    <w:spacing w:before="60"/>
                    <w:rPr>
                      <w:color w:val="0070C0"/>
                      <w:sz w:val="16"/>
                      <w:szCs w:val="16"/>
                    </w:rPr>
                  </w:pPr>
                  <w:r w:rsidRPr="009750F4">
                    <w:rPr>
                      <w:rFonts w:ascii="Arial" w:hAnsi="Arial" w:cs="Arial"/>
                      <w:b/>
                      <w:bCs/>
                      <w:color w:val="943634"/>
                      <w:sz w:val="16"/>
                      <w:szCs w:val="16"/>
                    </w:rPr>
                    <w:t xml:space="preserve">                        </w:t>
                  </w:r>
                  <w:r w:rsidRPr="009750F4">
                    <w:rPr>
                      <w:rFonts w:ascii="Arial" w:hAnsi="Arial" w:cs="Arial"/>
                      <w:b/>
                      <w:bCs/>
                      <w:color w:val="0070C0"/>
                      <w:sz w:val="16"/>
                      <w:szCs w:val="16"/>
                    </w:rPr>
                    <w:t>Apresentação dos dados                                                                           Comentário</w:t>
                  </w:r>
                </w:p>
              </w:txbxContent>
            </v:textbox>
          </v:shape>
        </w:pict>
      </w:r>
    </w:p>
    <w:p w:rsidR="00CE1021" w:rsidRDefault="00CE1021" w:rsidP="00CE1021">
      <w:pPr>
        <w:pStyle w:val="Corpodetexto"/>
        <w:spacing w:line="360" w:lineRule="auto"/>
        <w:rPr>
          <w:rFonts w:ascii="Arial" w:hAnsi="Arial" w:cs="Arial"/>
          <w:b/>
          <w:bCs/>
          <w:color w:val="943634"/>
          <w:sz w:val="20"/>
          <w:szCs w:val="20"/>
        </w:rPr>
      </w:pPr>
    </w:p>
    <w:p w:rsidR="00CE1021" w:rsidRDefault="008E0DDB" w:rsidP="00CE1021">
      <w:pPr>
        <w:pStyle w:val="Corpodetexto"/>
        <w:spacing w:line="360" w:lineRule="auto"/>
        <w:rPr>
          <w:rFonts w:ascii="Arial" w:hAnsi="Arial" w:cs="Arial"/>
          <w:b/>
          <w:bCs/>
          <w:color w:val="943634"/>
          <w:sz w:val="20"/>
          <w:szCs w:val="20"/>
        </w:rPr>
      </w:pPr>
      <w:r w:rsidRPr="008E0DDB">
        <w:rPr>
          <w:rFonts w:ascii="Arial" w:hAnsi="Arial" w:cs="Arial"/>
          <w:b/>
          <w:noProof/>
          <w:sz w:val="20"/>
          <w:szCs w:val="20"/>
        </w:rPr>
        <w:pict>
          <v:shape id="_x0000_s1211" type="#_x0000_t202" style="position:absolute;left:0;text-align:left;margin-left:300.5pt;margin-top:12.85pt;width:209.15pt;height:309.6pt;z-index:251668992;mso-width-relative:margin;mso-height-relative:margin" strokecolor="#f2f2f2">
            <v:textbox style="mso-next-textbox:#_x0000_s1211">
              <w:txbxContent>
                <w:p w:rsidR="00E92D98" w:rsidRPr="00F9049E" w:rsidRDefault="00E92D98" w:rsidP="00CE1021">
                  <w:pPr>
                    <w:spacing w:line="240" w:lineRule="atLeast"/>
                    <w:jc w:val="center"/>
                    <w:rPr>
                      <w:rFonts w:ascii="Arial" w:hAnsi="Arial" w:cs="Arial"/>
                      <w:b/>
                      <w:sz w:val="16"/>
                      <w:szCs w:val="16"/>
                    </w:rPr>
                  </w:pPr>
                  <w:r w:rsidRPr="00711862">
                    <w:rPr>
                      <w:rFonts w:ascii="Arial" w:hAnsi="Arial" w:cs="Arial"/>
                      <w:sz w:val="16"/>
                      <w:szCs w:val="16"/>
                    </w:rPr>
                    <w:t>Embora a UGRHI-08 tenha apresentado crescimento populacional até 2010, não houve aumento na demanda estimada para abastecimento público. Este fato, pode ser decorrente dos investimentos financeiros em obras e projetos para controles de perdas e uso racional da água realizados no CBH-SMG e/ou devido a desatualização dos dados (SNIS/ONS/SEADE, 2009). Foram investidos até 2010 em 37 projetos/estudos e obras/serviços de uso racional da água, totalizando R$ 4.673.746,72 de recurso FEHIDRO. Onze municípios, ou seja, 50%  da bacia, realiza o abastecimento urbano exclusivamente por mananciais subterrâneos, que representa apenas 13,19% do volume consumido para a bacia. Já o abastecimento por mana</w:t>
                  </w:r>
                  <w:r>
                    <w:rPr>
                      <w:rFonts w:ascii="Arial" w:hAnsi="Arial" w:cs="Arial"/>
                      <w:sz w:val="16"/>
                      <w:szCs w:val="16"/>
                    </w:rPr>
                    <w:t>n</w:t>
                  </w:r>
                  <w:r w:rsidRPr="00711862">
                    <w:rPr>
                      <w:rFonts w:ascii="Arial" w:hAnsi="Arial" w:cs="Arial"/>
                      <w:sz w:val="16"/>
                      <w:szCs w:val="16"/>
                    </w:rPr>
                    <w:t xml:space="preserve">ciais superficial e subterrâneo estão presentes em 8 municípios e respondem por 42,21% do volume consumido. Apenas 3 municípios (Franca, Restinga e Pedregulho-sede), realizam abastecimento exclusivamente por mananciais superficiais respondendo por 55,4% do volume total consumido na UGRHI 08, Destacando-se Franca que consome 1,09m3/s, 50% da demanda da bacia. </w:t>
                  </w:r>
                  <w:r w:rsidRPr="00F9049E">
                    <w:rPr>
                      <w:rFonts w:ascii="Arial" w:hAnsi="Arial" w:cs="Arial"/>
                      <w:b/>
                      <w:sz w:val="16"/>
                      <w:szCs w:val="16"/>
                    </w:rPr>
                    <w:t>Sugere-se para a gestão o incentivo a implantação de programas  e obras de uso racional da água.</w:t>
                  </w:r>
                </w:p>
              </w:txbxContent>
            </v:textbox>
          </v:shape>
        </w:pict>
      </w:r>
      <w:r>
        <w:rPr>
          <w:rFonts w:ascii="Arial" w:hAnsi="Arial" w:cs="Arial"/>
          <w:b/>
          <w:bCs/>
          <w:noProof/>
          <w:color w:val="943634"/>
          <w:sz w:val="20"/>
          <w:szCs w:val="20"/>
          <w:lang w:eastAsia="en-US"/>
        </w:rPr>
        <w:pict>
          <v:shape id="_x0000_s1210" type="#_x0000_t202" style="position:absolute;left:0;text-align:left;margin-left:-21.5pt;margin-top:12.85pt;width:55.9pt;height:289.2pt;z-index:251667968;mso-width-relative:margin;mso-height-relative:margin" fillcolor="#ff6" strokecolor="#f2f2f2">
            <v:textbox style="layout-flow:vertical;mso-layout-flow-alt:bottom-to-top;mso-next-textbox:#_x0000_s1210">
              <w:txbxContent>
                <w:p w:rsidR="00E92D98" w:rsidRDefault="00E92D98" w:rsidP="00CE1021">
                  <w:pPr>
                    <w:jc w:val="center"/>
                    <w:rPr>
                      <w:rFonts w:ascii="Arial" w:hAnsi="Arial" w:cs="Arial"/>
                      <w:b/>
                      <w:sz w:val="16"/>
                      <w:szCs w:val="16"/>
                    </w:rPr>
                  </w:pPr>
                </w:p>
                <w:p w:rsidR="00E92D98" w:rsidRPr="00AE3788" w:rsidRDefault="00E92D98" w:rsidP="00CE1021">
                  <w:pPr>
                    <w:jc w:val="center"/>
                    <w:rPr>
                      <w:rFonts w:ascii="Arial" w:hAnsi="Arial" w:cs="Arial"/>
                      <w:b/>
                      <w:sz w:val="16"/>
                      <w:szCs w:val="16"/>
                    </w:rPr>
                  </w:pPr>
                  <w:r w:rsidRPr="00AE3788">
                    <w:rPr>
                      <w:rFonts w:ascii="Arial" w:hAnsi="Arial" w:cs="Arial"/>
                      <w:b/>
                      <w:sz w:val="16"/>
                      <w:szCs w:val="16"/>
                    </w:rPr>
                    <w:t>P.02-E Demanda estimada para abastecimento urbano (m3/s)</w:t>
                  </w:r>
                </w:p>
              </w:txbxContent>
            </v:textbox>
          </v:shape>
        </w:pict>
      </w:r>
    </w:p>
    <w:p w:rsidR="00CE1021" w:rsidRPr="00190436" w:rsidRDefault="008E0DDB" w:rsidP="00CE1021">
      <w:pPr>
        <w:pStyle w:val="Corpodetexto"/>
        <w:spacing w:line="360" w:lineRule="auto"/>
        <w:rPr>
          <w:rFonts w:ascii="Arial" w:hAnsi="Arial" w:cs="Arial"/>
          <w:b/>
          <w:bCs/>
          <w:color w:val="943634"/>
          <w:sz w:val="20"/>
          <w:szCs w:val="20"/>
        </w:rPr>
      </w:pPr>
      <w:r w:rsidRPr="008E0DDB">
        <w:rPr>
          <w:rFonts w:ascii="Arial" w:hAnsi="Arial" w:cs="Arial"/>
          <w:b/>
          <w:bCs/>
          <w:noProof/>
          <w:color w:val="E36C0A"/>
        </w:rPr>
        <w:pict>
          <v:shape id="_x0000_s1268" type="#_x0000_t202" style="position:absolute;left:0;text-align:left;margin-left:40pt;margin-top:1.2pt;width:249.25pt;height:235.5pt;z-index:-251707904;mso-width-relative:margin;mso-height-relative:margin" strokecolor="white">
            <v:textbox style="mso-next-textbox:#_x0000_s1268">
              <w:txbxContent>
                <w:p w:rsidR="00E92D98" w:rsidRDefault="00E92D98" w:rsidP="00CE1021">
                  <w:pPr>
                    <w:rPr>
                      <w:noProof/>
                    </w:rPr>
                  </w:pPr>
                </w:p>
                <w:p w:rsidR="00E92D98" w:rsidRDefault="00E92D98" w:rsidP="00CE1021">
                  <w:pPr>
                    <w:rPr>
                      <w:noProof/>
                    </w:rPr>
                  </w:pPr>
                </w:p>
                <w:p w:rsidR="00E92D98" w:rsidRPr="00252C84" w:rsidRDefault="00E92D98" w:rsidP="00CE1021">
                  <w:r>
                    <w:rPr>
                      <w:noProof/>
                    </w:rPr>
                    <w:drawing>
                      <wp:inline distT="0" distB="0" distL="0" distR="0">
                        <wp:extent cx="2979420" cy="1907540"/>
                        <wp:effectExtent l="0" t="0" r="0" b="0"/>
                        <wp:docPr id="35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A444A0" w:rsidRDefault="00A444A0"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lastRenderedPageBreak/>
        <w:pict>
          <v:shape id="_x0000_s1270" type="#_x0000_t202" style="position:absolute;left:0;text-align:left;margin-left:-21.25pt;margin-top:-4.6pt;width:530.9pt;height:20.2pt;z-index:-251706880;mso-width-relative:margin;mso-height-relative:margin" fillcolor="#d8d8d8" strokecolor="white">
            <v:textbox style="mso-next-textbox:#_x0000_s1270">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Captações de Água</w:t>
                  </w:r>
                </w:p>
                <w:p w:rsidR="00E92D98" w:rsidRPr="00826C1D" w:rsidRDefault="00E92D98" w:rsidP="00CE1021">
                  <w:pPr>
                    <w:rPr>
                      <w:szCs w:val="18"/>
                    </w:rPr>
                  </w:pPr>
                </w:p>
              </w:txbxContent>
            </v:textbox>
          </v:shape>
        </w:pict>
      </w: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pict>
          <v:shape id="_x0000_s1269" type="#_x0000_t202" style="position:absolute;left:0;text-align:left;margin-left:-21.25pt;margin-top:1.35pt;width:55.9pt;height:27.85pt;z-index:-251705856;mso-width-relative:margin;mso-height-relative:margin" fillcolor="#d8d8d8" strokecolor="white">
            <v:textbox style="mso-next-textbox:#_x0000_s1269">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r>
        <w:rPr>
          <w:rFonts w:ascii="Arial" w:hAnsi="Arial" w:cs="Arial"/>
          <w:b/>
          <w:bCs/>
          <w:noProof/>
          <w:color w:val="E36C0A"/>
        </w:rPr>
        <w:pict>
          <v:shape id="_x0000_s1271" type="#_x0000_t202" style="position:absolute;left:0;text-align:left;margin-left:46.65pt;margin-top:1.35pt;width:463pt;height:27.85pt;z-index:-251704832;mso-width-relative:margin;mso-height-relative:margin" fillcolor="#d8d8d8" strokecolor="white">
            <v:textbox style="mso-next-textbox:#_x0000_s1271">
              <w:txbxContent>
                <w:p w:rsidR="00E92D98" w:rsidRPr="009750F4" w:rsidRDefault="00E92D98" w:rsidP="00CE1021">
                  <w:pPr>
                    <w:spacing w:before="60"/>
                    <w:rPr>
                      <w:color w:val="0070C0"/>
                      <w:sz w:val="16"/>
                      <w:szCs w:val="16"/>
                    </w:rPr>
                  </w:pPr>
                  <w:r>
                    <w:rPr>
                      <w:rFonts w:ascii="Arial" w:hAnsi="Arial" w:cs="Arial"/>
                      <w:b/>
                      <w:bCs/>
                      <w:color w:val="943634"/>
                      <w:sz w:val="18"/>
                      <w:szCs w:val="18"/>
                    </w:rPr>
                    <w:t xml:space="preserve">                        </w:t>
                  </w:r>
                  <w:r w:rsidRPr="009750F4">
                    <w:rPr>
                      <w:rFonts w:ascii="Arial" w:hAnsi="Arial" w:cs="Arial"/>
                      <w:b/>
                      <w:bCs/>
                      <w:color w:val="0070C0"/>
                      <w:sz w:val="16"/>
                      <w:szCs w:val="16"/>
                    </w:rPr>
                    <w:t>Apresentação dos dados                                                                           Comentário</w:t>
                  </w:r>
                </w:p>
              </w:txbxContent>
            </v:textbox>
          </v:shape>
        </w:pict>
      </w:r>
    </w:p>
    <w:p w:rsidR="00CE1021" w:rsidRPr="00F53996" w:rsidRDefault="008E0DDB" w:rsidP="00CE1021">
      <w:pPr>
        <w:pStyle w:val="Corpodetexto"/>
        <w:spacing w:line="360" w:lineRule="auto"/>
        <w:jc w:val="center"/>
        <w:rPr>
          <w:rFonts w:ascii="Arial" w:hAnsi="Arial" w:cs="Arial"/>
          <w:b/>
          <w:bCs/>
          <w:color w:val="943634"/>
          <w:sz w:val="20"/>
          <w:szCs w:val="20"/>
        </w:rPr>
      </w:pPr>
      <w:r w:rsidRPr="008E0DDB">
        <w:rPr>
          <w:rFonts w:ascii="Arial" w:hAnsi="Arial" w:cs="Arial"/>
          <w:b/>
          <w:noProof/>
          <w:sz w:val="20"/>
          <w:szCs w:val="20"/>
        </w:rPr>
        <w:pict>
          <v:shape id="_x0000_s1213" type="#_x0000_t202" style="position:absolute;left:0;text-align:left;margin-left:302.05pt;margin-top:15.7pt;width:207.6pt;height:523.65pt;z-index:251671040;mso-width-relative:margin;mso-height-relative:margin" strokecolor="#f2f2f2">
            <v:textbox style="mso-next-textbox:#_x0000_s1213">
              <w:txbxContent>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Default="00E92D98" w:rsidP="00CE1021">
                  <w:pPr>
                    <w:spacing w:line="240" w:lineRule="atLeast"/>
                    <w:jc w:val="center"/>
                    <w:rPr>
                      <w:rFonts w:ascii="Arial" w:hAnsi="Arial" w:cs="Arial"/>
                      <w:sz w:val="20"/>
                      <w:szCs w:val="20"/>
                    </w:rPr>
                  </w:pPr>
                </w:p>
                <w:p w:rsidR="00E92D98" w:rsidRPr="00F9049E" w:rsidRDefault="00E92D98" w:rsidP="00CE1021">
                  <w:pPr>
                    <w:spacing w:line="300" w:lineRule="atLeast"/>
                    <w:jc w:val="center"/>
                    <w:rPr>
                      <w:rFonts w:ascii="Arial" w:hAnsi="Arial" w:cs="Arial"/>
                      <w:b/>
                      <w:sz w:val="20"/>
                      <w:szCs w:val="20"/>
                    </w:rPr>
                  </w:pPr>
                  <w:r w:rsidRPr="008F6A5D">
                    <w:rPr>
                      <w:rFonts w:ascii="Arial" w:hAnsi="Arial" w:cs="Arial"/>
                      <w:sz w:val="20"/>
                      <w:szCs w:val="20"/>
                    </w:rPr>
                    <w:t>As captações superficiais superaram as subterrâneas (DAEE, SEADE, 2010). Observa-se que a quantidade de captações superficia</w:t>
                  </w:r>
                  <w:r>
                    <w:rPr>
                      <w:rFonts w:ascii="Arial" w:hAnsi="Arial" w:cs="Arial"/>
                      <w:sz w:val="20"/>
                      <w:szCs w:val="20"/>
                    </w:rPr>
                    <w:t>is man</w:t>
                  </w:r>
                  <w:r w:rsidRPr="008F6A5D">
                    <w:rPr>
                      <w:rFonts w:ascii="Arial" w:hAnsi="Arial" w:cs="Arial"/>
                      <w:sz w:val="20"/>
                      <w:szCs w:val="20"/>
                    </w:rPr>
                    <w:t>t</w:t>
                  </w:r>
                  <w:r>
                    <w:rPr>
                      <w:rFonts w:ascii="Arial" w:hAnsi="Arial" w:cs="Arial"/>
                      <w:sz w:val="20"/>
                      <w:szCs w:val="20"/>
                    </w:rPr>
                    <w:t>é</w:t>
                  </w:r>
                  <w:r w:rsidRPr="008F6A5D">
                    <w:rPr>
                      <w:rFonts w:ascii="Arial" w:hAnsi="Arial" w:cs="Arial"/>
                      <w:sz w:val="20"/>
                      <w:szCs w:val="20"/>
                    </w:rPr>
                    <w:t xml:space="preserve">m-se estável nos </w:t>
                  </w:r>
                  <w:r>
                    <w:rPr>
                      <w:rFonts w:ascii="Arial" w:hAnsi="Arial" w:cs="Arial"/>
                      <w:sz w:val="20"/>
                      <w:szCs w:val="20"/>
                    </w:rPr>
                    <w:t>ú</w:t>
                  </w:r>
                  <w:r w:rsidRPr="008F6A5D">
                    <w:rPr>
                      <w:rFonts w:ascii="Arial" w:hAnsi="Arial" w:cs="Arial"/>
                      <w:sz w:val="20"/>
                      <w:szCs w:val="20"/>
                    </w:rPr>
                    <w:t>ltimos anos, destacam-se o aumento das captações subterrâneas através de regularizaç</w:t>
                  </w:r>
                  <w:r>
                    <w:rPr>
                      <w:rFonts w:ascii="Arial" w:hAnsi="Arial" w:cs="Arial"/>
                      <w:sz w:val="20"/>
                      <w:szCs w:val="20"/>
                    </w:rPr>
                    <w:t>õ</w:t>
                  </w:r>
                  <w:r w:rsidRPr="008F6A5D">
                    <w:rPr>
                      <w:rFonts w:ascii="Arial" w:hAnsi="Arial" w:cs="Arial"/>
                      <w:sz w:val="20"/>
                      <w:szCs w:val="20"/>
                    </w:rPr>
                    <w:t>es, cadastramento que acreditamos ocorrer por motivos de certificações, exigências de órgãos ambie</w:t>
                  </w:r>
                  <w:r>
                    <w:rPr>
                      <w:rFonts w:ascii="Arial" w:hAnsi="Arial" w:cs="Arial"/>
                      <w:sz w:val="20"/>
                      <w:szCs w:val="20"/>
                    </w:rPr>
                    <w:t>ntais. Considerando que estes nú</w:t>
                  </w:r>
                  <w:r w:rsidRPr="008F6A5D">
                    <w:rPr>
                      <w:rFonts w:ascii="Arial" w:hAnsi="Arial" w:cs="Arial"/>
                      <w:sz w:val="20"/>
                      <w:szCs w:val="20"/>
                    </w:rPr>
                    <w:t xml:space="preserve">meros poderão ser ajustados com a implantação da cobrança pelo uso da água na bacia. A análise fica comprometida, pois não é apresentado a localização geográfica dessas captações, de forma a identificar onde ocorre maior concentração. </w:t>
                  </w:r>
                  <w:r w:rsidRPr="00F9049E">
                    <w:rPr>
                      <w:rFonts w:ascii="Arial" w:hAnsi="Arial" w:cs="Arial"/>
                      <w:b/>
                      <w:sz w:val="20"/>
                      <w:szCs w:val="20"/>
                    </w:rPr>
                    <w:t>Para a gestão dos recursos hídricos para todos os tipos de usos, promover o uso racional da água, educação ambiental.</w:t>
                  </w:r>
                </w:p>
              </w:txbxContent>
            </v:textbox>
          </v:shape>
        </w:pict>
      </w:r>
      <w:r w:rsidRPr="008E0DDB">
        <w:rPr>
          <w:rFonts w:ascii="Arial" w:hAnsi="Arial" w:cs="Arial"/>
          <w:b/>
          <w:noProof/>
          <w:sz w:val="20"/>
          <w:szCs w:val="20"/>
        </w:rPr>
        <w:pict>
          <v:shape id="_x0000_s1212" type="#_x0000_t202" style="position:absolute;left:0;text-align:left;margin-left:-21.5pt;margin-top:15.7pt;width:55.9pt;height:152.75pt;z-index:251670016;mso-width-relative:margin;mso-height-relative:margin" strokecolor="#f2f2f2 [3052]">
            <v:textbox style="layout-flow:vertical;mso-layout-flow-alt:bottom-to-top;mso-next-textbox:#_x0000_s1212">
              <w:txbxContent>
                <w:p w:rsidR="00E92D98" w:rsidRPr="008F6A5D" w:rsidRDefault="00E92D98" w:rsidP="00CE1021">
                  <w:pPr>
                    <w:jc w:val="center"/>
                    <w:rPr>
                      <w:rFonts w:ascii="Arial" w:hAnsi="Arial" w:cs="Arial"/>
                      <w:b/>
                      <w:sz w:val="16"/>
                      <w:szCs w:val="16"/>
                    </w:rPr>
                  </w:pPr>
                  <w:r w:rsidRPr="008F6A5D">
                    <w:rPr>
                      <w:rFonts w:ascii="Arial" w:hAnsi="Arial" w:cs="Arial"/>
                      <w:b/>
                      <w:sz w:val="16"/>
                      <w:szCs w:val="16"/>
                    </w:rPr>
                    <w:t>P.03-A Quantidade de captação superficial em relação à área total da bacia</w:t>
                  </w:r>
                </w:p>
                <w:p w:rsidR="00E92D98" w:rsidRPr="00CD00AA" w:rsidRDefault="00E92D98" w:rsidP="00CE1021">
                  <w:pPr>
                    <w:jc w:val="center"/>
                    <w:rPr>
                      <w:rFonts w:ascii="Arial" w:hAnsi="Arial" w:cs="Arial"/>
                      <w:sz w:val="16"/>
                      <w:szCs w:val="16"/>
                    </w:rPr>
                  </w:pPr>
                  <w:r w:rsidRPr="00CD00AA">
                    <w:rPr>
                      <w:rFonts w:ascii="Arial" w:hAnsi="Arial" w:cs="Arial"/>
                      <w:sz w:val="16"/>
                      <w:szCs w:val="16"/>
                    </w:rPr>
                    <w:t>(nº de outorgas/ 1000 km2)</w:t>
                  </w:r>
                </w:p>
              </w:txbxContent>
            </v:textbox>
          </v:shape>
        </w:pict>
      </w:r>
      <w:r w:rsidR="00CE1021" w:rsidRPr="00754DAA">
        <w:rPr>
          <w:rFonts w:ascii="Arial" w:hAnsi="Arial" w:cs="Arial"/>
          <w:b/>
          <w:bCs/>
          <w:color w:val="E36C0A"/>
          <w:sz w:val="20"/>
          <w:szCs w:val="20"/>
        </w:rPr>
        <w:t xml:space="preserve">                                    </w:t>
      </w:r>
    </w:p>
    <w:p w:rsidR="00CE1021" w:rsidRDefault="00CE1021" w:rsidP="00CE1021">
      <w:pPr>
        <w:jc w:val="both"/>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72" type="#_x0000_t202" style="position:absolute;left:0;text-align:left;margin-left:39.95pt;margin-top:4.3pt;width:248.1pt;height:235.95pt;z-index:-251703808;mso-wrap-style:none;mso-width-relative:margin;mso-height-relative:margin" strokecolor="white">
            <v:textbox style="mso-next-textbox:#_x0000_s1272;mso-fit-shape-to-text:t">
              <w:txbxContent>
                <w:p w:rsidR="00E92D98" w:rsidRPr="00252C84" w:rsidRDefault="00E92D98" w:rsidP="00CE1021">
                  <w:r>
                    <w:rPr>
                      <w:noProof/>
                    </w:rPr>
                    <w:drawing>
                      <wp:inline distT="0" distB="0" distL="0" distR="0">
                        <wp:extent cx="2964180" cy="2727325"/>
                        <wp:effectExtent l="0" t="0" r="0" b="0"/>
                        <wp:docPr id="35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14" type="#_x0000_t202" style="position:absolute;left:0;text-align:left;margin-left:-21.5pt;margin-top:14.2pt;width:55.9pt;height:129.4pt;z-index:251672064;mso-width-relative:margin;mso-height-relative:margin" strokecolor="#f2f2f2">
            <v:textbox style="layout-flow:vertical;mso-layout-flow-alt:bottom-to-top;mso-next-textbox:#_x0000_s1214">
              <w:txbxContent>
                <w:p w:rsidR="00E92D98" w:rsidRPr="0091507D" w:rsidRDefault="00E92D98" w:rsidP="00CE1021">
                  <w:pPr>
                    <w:spacing w:line="200" w:lineRule="atLeast"/>
                    <w:jc w:val="center"/>
                    <w:rPr>
                      <w:rFonts w:ascii="Arial" w:hAnsi="Arial" w:cs="Arial"/>
                      <w:sz w:val="16"/>
                      <w:szCs w:val="16"/>
                    </w:rPr>
                  </w:pPr>
                  <w:r w:rsidRPr="008F6A5D">
                    <w:rPr>
                      <w:rFonts w:ascii="Arial" w:hAnsi="Arial" w:cs="Arial"/>
                      <w:b/>
                      <w:sz w:val="16"/>
                      <w:szCs w:val="16"/>
                    </w:rPr>
                    <w:t xml:space="preserve">P.03-B Quantidade de captação subterrânea em relação à área total da bacia </w:t>
                  </w:r>
                  <w:r w:rsidRPr="0091507D">
                    <w:rPr>
                      <w:rFonts w:ascii="Arial" w:hAnsi="Arial" w:cs="Arial"/>
                      <w:sz w:val="16"/>
                      <w:szCs w:val="16"/>
                    </w:rPr>
                    <w:t>(nº de outorgas/ 1000 km2)</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15" type="#_x0000_t202" style="position:absolute;left:0;text-align:left;margin-left:-21.25pt;margin-top:11.85pt;width:55.9pt;height:118.9pt;z-index:251673088;mso-width-relative:margin;mso-height-relative:margin" strokecolor="#f2f2f2">
            <v:textbox style="layout-flow:vertical;mso-layout-flow-alt:bottom-to-top;mso-next-textbox:#_x0000_s1215">
              <w:txbxContent>
                <w:p w:rsidR="00E92D98" w:rsidRPr="006305EF" w:rsidRDefault="00E92D98" w:rsidP="00CE1021">
                  <w:pPr>
                    <w:spacing w:line="200" w:lineRule="atLeast"/>
                    <w:jc w:val="center"/>
                    <w:rPr>
                      <w:rFonts w:ascii="Arial" w:hAnsi="Arial" w:cs="Arial"/>
                      <w:sz w:val="16"/>
                      <w:szCs w:val="16"/>
                    </w:rPr>
                  </w:pPr>
                  <w:r w:rsidRPr="008F6A5D">
                    <w:rPr>
                      <w:rFonts w:ascii="Arial" w:hAnsi="Arial" w:cs="Arial"/>
                      <w:b/>
                      <w:sz w:val="16"/>
                      <w:szCs w:val="16"/>
                    </w:rPr>
                    <w:t xml:space="preserve">P.03-C Proporção de captações de água superficial em relação </w:t>
                  </w:r>
                  <w:r w:rsidRPr="006305EF">
                    <w:rPr>
                      <w:rFonts w:ascii="Arial" w:hAnsi="Arial" w:cs="Arial"/>
                      <w:sz w:val="16"/>
                      <w:szCs w:val="16"/>
                    </w:rPr>
                    <w:t>ao total (%)</w:t>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16" type="#_x0000_t202" style="position:absolute;left:0;text-align:left;margin-left:39.95pt;margin-top:16.35pt;width:240.6pt;height:190.4pt;z-index:251674112;mso-wrap-style:none;mso-width-relative:margin;mso-height-relative:margin" strokecolor="white">
            <v:textbox style="mso-next-textbox:#_x0000_s1216">
              <w:txbxContent>
                <w:p w:rsidR="00E92D98" w:rsidRPr="00252C84" w:rsidRDefault="00E92D98" w:rsidP="00CE1021">
                  <w:r>
                    <w:rPr>
                      <w:noProof/>
                    </w:rPr>
                    <w:drawing>
                      <wp:inline distT="0" distB="0" distL="0" distR="0">
                        <wp:extent cx="2869565" cy="2317750"/>
                        <wp:effectExtent l="0" t="0" r="0" b="0"/>
                        <wp:docPr id="35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41" type="#_x0000_t202" style="position:absolute;left:0;text-align:left;margin-left:-21.5pt;margin-top:16.65pt;width:55.9pt;height:109.7pt;z-index:251699712;mso-width-relative:margin;mso-height-relative:margin" strokecolor="#f2f2f2">
            <v:textbox style="layout-flow:vertical;mso-layout-flow-alt:bottom-to-top;mso-next-textbox:#_x0000_s1241">
              <w:txbxContent>
                <w:p w:rsidR="00E92D98" w:rsidRPr="006305EF" w:rsidRDefault="00E92D98" w:rsidP="00CE1021">
                  <w:pPr>
                    <w:spacing w:line="200" w:lineRule="atLeast"/>
                    <w:jc w:val="center"/>
                    <w:rPr>
                      <w:rFonts w:ascii="Arial" w:hAnsi="Arial" w:cs="Arial"/>
                      <w:sz w:val="16"/>
                      <w:szCs w:val="16"/>
                    </w:rPr>
                  </w:pPr>
                  <w:r w:rsidRPr="008F6A5D">
                    <w:rPr>
                      <w:rFonts w:ascii="Arial" w:hAnsi="Arial" w:cs="Arial"/>
                      <w:b/>
                      <w:sz w:val="16"/>
                      <w:szCs w:val="16"/>
                    </w:rPr>
                    <w:t>P.03-D Proporção de captações de água subterrânea em relação</w:t>
                  </w:r>
                  <w:r w:rsidRPr="006305EF">
                    <w:rPr>
                      <w:rFonts w:ascii="Arial" w:hAnsi="Arial" w:cs="Arial"/>
                      <w:sz w:val="16"/>
                      <w:szCs w:val="16"/>
                    </w:rPr>
                    <w:t xml:space="preserve"> ao total (%)</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CE1021" w:rsidP="00CE1021">
      <w:pPr>
        <w:pStyle w:val="Corpodetexto"/>
        <w:spacing w:line="360" w:lineRule="auto"/>
        <w:jc w:val="center"/>
        <w:rPr>
          <w:rFonts w:ascii="Arial" w:hAnsi="Arial" w:cs="Arial"/>
          <w:b/>
          <w:bCs/>
          <w:color w:val="E36C0A"/>
        </w:rPr>
      </w:pP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lastRenderedPageBreak/>
        <w:pict>
          <v:shape id="_x0000_s1274" type="#_x0000_t202" style="position:absolute;left:0;text-align:left;margin-left:-21.25pt;margin-top:-5.55pt;width:530.9pt;height:20.2pt;z-index:-251702784;mso-width-relative:margin;mso-height-relative:margin" fillcolor="#d8d8d8" strokecolor="white">
            <v:textbox style="mso-next-textbox:#_x0000_s1274">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Produção de Resíduos Sólidos e Efluentes</w:t>
                  </w:r>
                </w:p>
                <w:p w:rsidR="00E92D98" w:rsidRPr="00826C1D" w:rsidRDefault="00E92D98" w:rsidP="00CE1021">
                  <w:pPr>
                    <w:rPr>
                      <w:szCs w:val="18"/>
                    </w:rPr>
                  </w:pPr>
                </w:p>
              </w:txbxContent>
            </v:textbox>
          </v:shape>
        </w:pict>
      </w:r>
    </w:p>
    <w:p w:rsidR="00CE1021" w:rsidRDefault="008E0DDB" w:rsidP="00CE1021">
      <w:pPr>
        <w:pStyle w:val="Corpodetexto"/>
        <w:spacing w:line="360" w:lineRule="auto"/>
        <w:jc w:val="center"/>
        <w:rPr>
          <w:rFonts w:ascii="Arial" w:hAnsi="Arial" w:cs="Arial"/>
          <w:b/>
          <w:bCs/>
          <w:color w:val="E36C0A"/>
        </w:rPr>
      </w:pPr>
      <w:r>
        <w:rPr>
          <w:rFonts w:ascii="Arial" w:hAnsi="Arial" w:cs="Arial"/>
          <w:b/>
          <w:bCs/>
          <w:noProof/>
          <w:color w:val="E36C0A"/>
        </w:rPr>
        <w:pict>
          <v:shape id="_x0000_s1275" type="#_x0000_t202" style="position:absolute;left:0;text-align:left;margin-left:46.65pt;margin-top:.4pt;width:463pt;height:27.85pt;z-index:-251701760;mso-width-relative:margin;mso-height-relative:margin" fillcolor="#d8d8d8" strokecolor="white">
            <v:textbox style="mso-next-textbox:#_x0000_s1275">
              <w:txbxContent>
                <w:p w:rsidR="00E92D98" w:rsidRPr="009750F4" w:rsidRDefault="00E92D98" w:rsidP="00CE1021">
                  <w:pPr>
                    <w:spacing w:before="60"/>
                    <w:rPr>
                      <w:color w:val="0070C0"/>
                      <w:sz w:val="16"/>
                      <w:szCs w:val="16"/>
                    </w:rPr>
                  </w:pPr>
                  <w:r>
                    <w:rPr>
                      <w:rFonts w:ascii="Arial" w:hAnsi="Arial" w:cs="Arial"/>
                      <w:b/>
                      <w:bCs/>
                      <w:color w:val="943634"/>
                      <w:sz w:val="18"/>
                      <w:szCs w:val="18"/>
                    </w:rPr>
                    <w:t xml:space="preserve">                        </w:t>
                  </w:r>
                  <w:r w:rsidRPr="009750F4">
                    <w:rPr>
                      <w:rFonts w:ascii="Arial" w:hAnsi="Arial" w:cs="Arial"/>
                      <w:b/>
                      <w:bCs/>
                      <w:color w:val="0070C0"/>
                      <w:sz w:val="16"/>
                      <w:szCs w:val="16"/>
                    </w:rPr>
                    <w:t>Apresentação dos dados</w:t>
                  </w:r>
                  <w:r>
                    <w:rPr>
                      <w:rFonts w:ascii="Arial" w:hAnsi="Arial" w:cs="Arial"/>
                      <w:b/>
                      <w:bCs/>
                      <w:color w:val="0070C0"/>
                      <w:sz w:val="16"/>
                      <w:szCs w:val="16"/>
                    </w:rPr>
                    <w:t xml:space="preserve"> 2007 - 2009</w:t>
                  </w:r>
                  <w:r w:rsidRPr="009750F4">
                    <w:rPr>
                      <w:rFonts w:ascii="Arial" w:hAnsi="Arial" w:cs="Arial"/>
                      <w:b/>
                      <w:bCs/>
                      <w:color w:val="0070C0"/>
                      <w:sz w:val="16"/>
                      <w:szCs w:val="16"/>
                    </w:rPr>
                    <w:t xml:space="preserve">                                                                Comentário</w:t>
                  </w:r>
                </w:p>
              </w:txbxContent>
            </v:textbox>
          </v:shape>
        </w:pict>
      </w:r>
      <w:r>
        <w:rPr>
          <w:rFonts w:ascii="Arial" w:hAnsi="Arial" w:cs="Arial"/>
          <w:b/>
          <w:bCs/>
          <w:noProof/>
          <w:color w:val="E36C0A"/>
        </w:rPr>
        <w:pict>
          <v:shape id="_x0000_s1273" type="#_x0000_t202" style="position:absolute;left:0;text-align:left;margin-left:-21.25pt;margin-top:.4pt;width:55.9pt;height:27.85pt;z-index:-251700736;mso-width-relative:margin;mso-height-relative:margin" fillcolor="#d8d8d8" strokecolor="white">
            <v:textbox style="mso-next-textbox:#_x0000_s1273">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p>
    <w:p w:rsidR="00CE1021" w:rsidRDefault="008E0DDB" w:rsidP="00CE1021">
      <w:pPr>
        <w:pStyle w:val="Corpodetexto"/>
        <w:spacing w:line="360" w:lineRule="auto"/>
        <w:jc w:val="center"/>
        <w:rPr>
          <w:rFonts w:ascii="Arial" w:hAnsi="Arial" w:cs="Arial"/>
          <w:b/>
          <w:bCs/>
          <w:color w:val="E36C0A"/>
        </w:rPr>
      </w:pPr>
      <w:r w:rsidRPr="008E0DDB">
        <w:rPr>
          <w:rFonts w:ascii="Arial" w:hAnsi="Arial" w:cs="Arial"/>
          <w:b/>
          <w:noProof/>
          <w:color w:val="E36C0A"/>
          <w:sz w:val="20"/>
          <w:szCs w:val="20"/>
        </w:rPr>
        <w:pict>
          <v:shape id="_x0000_s1224" type="#_x0000_t202" style="position:absolute;left:0;text-align:left;margin-left:39.5pt;margin-top:12.75pt;width:271.3pt;height:117.55pt;z-index:251682304;mso-width-relative:margin;mso-height-relative:margin" strokecolor="white [3212]">
            <v:textbox style="mso-next-textbox:#_x0000_s1224">
              <w:txbxContent>
                <w:p w:rsidR="00E92D98" w:rsidRPr="00252C84" w:rsidRDefault="00E92D98" w:rsidP="00CE1021">
                  <w:r>
                    <w:rPr>
                      <w:noProof/>
                    </w:rPr>
                    <w:drawing>
                      <wp:inline distT="0" distB="0" distL="0" distR="0">
                        <wp:extent cx="3306725" cy="1626781"/>
                        <wp:effectExtent l="0" t="0" r="0" b="0"/>
                        <wp:docPr id="359"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w:r>
      <w:r w:rsidRPr="008E0DDB">
        <w:rPr>
          <w:rFonts w:ascii="Arial" w:hAnsi="Arial" w:cs="Arial"/>
          <w:b/>
          <w:noProof/>
          <w:color w:val="E36C0A"/>
          <w:sz w:val="20"/>
          <w:szCs w:val="20"/>
        </w:rPr>
        <w:pict>
          <v:shape id="_x0000_s1218" type="#_x0000_t202" style="position:absolute;left:0;text-align:left;margin-left:310.8pt;margin-top:12.75pt;width:198.85pt;height:328.1pt;z-index:251676160;mso-width-relative:margin;mso-height-relative:margin" strokecolor="#f2f2f2 [3052]">
            <v:textbox style="mso-next-textbox:#_x0000_s1218">
              <w:txbxContent>
                <w:p w:rsidR="00E92D98" w:rsidRPr="008723C6" w:rsidRDefault="00E92D98" w:rsidP="00CE1021">
                  <w:pPr>
                    <w:spacing w:line="300" w:lineRule="atLeast"/>
                    <w:jc w:val="center"/>
                    <w:rPr>
                      <w:rFonts w:ascii="Arial" w:hAnsi="Arial" w:cs="Arial"/>
                      <w:sz w:val="18"/>
                      <w:szCs w:val="18"/>
                    </w:rPr>
                  </w:pPr>
                  <w:r w:rsidRPr="008723C6">
                    <w:rPr>
                      <w:rFonts w:ascii="Arial" w:hAnsi="Arial" w:cs="Arial"/>
                      <w:sz w:val="18"/>
                      <w:szCs w:val="18"/>
                    </w:rPr>
                    <w:t>Segundo a CETESB (2010),  a geração de resíduos sólidos domiciliares diminuiu de 323,50 ton/dia para 315,80 ton/dia, contrapondo-se ao crescimento populacional da bacia. Este fator pode ser em função da redução da taxa de geração per capita de res</w:t>
                  </w:r>
                  <w:r>
                    <w:rPr>
                      <w:rFonts w:ascii="Arial" w:hAnsi="Arial" w:cs="Arial"/>
                      <w:sz w:val="18"/>
                      <w:szCs w:val="18"/>
                    </w:rPr>
                    <w:t>í</w:t>
                  </w:r>
                  <w:r w:rsidRPr="008723C6">
                    <w:rPr>
                      <w:rFonts w:ascii="Arial" w:hAnsi="Arial" w:cs="Arial"/>
                      <w:sz w:val="18"/>
                      <w:szCs w:val="18"/>
                    </w:rPr>
                    <w:t>duo sólido domiciliar, por meio de impla</w:t>
                  </w:r>
                  <w:r>
                    <w:rPr>
                      <w:rFonts w:ascii="Arial" w:hAnsi="Arial" w:cs="Arial"/>
                      <w:sz w:val="18"/>
                      <w:szCs w:val="18"/>
                    </w:rPr>
                    <w:t>n</w:t>
                  </w:r>
                  <w:r w:rsidRPr="008723C6">
                    <w:rPr>
                      <w:rFonts w:ascii="Arial" w:hAnsi="Arial" w:cs="Arial"/>
                      <w:sz w:val="18"/>
                      <w:szCs w:val="18"/>
                    </w:rPr>
                    <w:t>tação de Cooperativas de reciclagem  e programas de educação ambiental. O município de Franca, mais populoso da bacia, destaca-se como maior gerador de resíduos sólidos domiciliares, mesmo apresentando redução de 194,7 ton/dia em 2009 para 187,6 ton/dia em 2010 (CETESB, 2010). Segundo o Inventário de Resíduos Sólidos Domiciliares - CETESB (2010) nove municípios encontram-se enquadrados quanto as condições de tratamento e disposição dos resíduos domiciliares como "controlado", representando 26,8% do total de resíduos produzidos na UGRHI 08.</w:t>
                  </w:r>
                </w:p>
              </w:txbxContent>
            </v:textbox>
          </v:shape>
        </w:pict>
      </w:r>
      <w:r w:rsidRPr="008E0DDB">
        <w:rPr>
          <w:rFonts w:ascii="Arial" w:hAnsi="Arial" w:cs="Arial"/>
          <w:b/>
          <w:bCs/>
          <w:noProof/>
          <w:color w:val="E36C0A"/>
          <w:sz w:val="20"/>
          <w:szCs w:val="20"/>
          <w:lang w:eastAsia="en-US"/>
        </w:rPr>
        <w:pict>
          <v:shape id="_x0000_s1217" type="#_x0000_t202" style="position:absolute;left:0;text-align:left;margin-left:-21.5pt;margin-top:12.75pt;width:55.9pt;height:328.1pt;z-index:251675136;mso-width-relative:margin;mso-height-relative:margin" fillcolor="#ff6" strokecolor="#f2f2f2 [3052]">
            <v:textbox style="layout-flow:vertical;mso-layout-flow-alt:bottom-to-top;mso-next-textbox:#_x0000_s1217">
              <w:txbxContent>
                <w:p w:rsidR="00E92D98" w:rsidRPr="00EE6A39" w:rsidRDefault="00E92D98" w:rsidP="00CE1021">
                  <w:pPr>
                    <w:spacing w:before="120"/>
                    <w:jc w:val="center"/>
                    <w:rPr>
                      <w:rFonts w:ascii="Arial" w:hAnsi="Arial" w:cs="Arial"/>
                      <w:sz w:val="16"/>
                      <w:szCs w:val="16"/>
                    </w:rPr>
                  </w:pPr>
                  <w:r w:rsidRPr="00EE6A39">
                    <w:rPr>
                      <w:rFonts w:ascii="Arial" w:hAnsi="Arial" w:cs="Arial"/>
                      <w:b/>
                      <w:sz w:val="16"/>
                      <w:szCs w:val="16"/>
                    </w:rPr>
                    <w:t>P.04-A Quantidade de resíduo sólido domiciliar gerado (ton/dia)</w:t>
                  </w:r>
                </w:p>
              </w:txbxContent>
            </v:textbox>
          </v:shape>
        </w:pict>
      </w:r>
    </w:p>
    <w:p w:rsidR="00CE1021" w:rsidRPr="00754DAA" w:rsidRDefault="00CE1021" w:rsidP="00CE1021">
      <w:pPr>
        <w:jc w:val="both"/>
        <w:rPr>
          <w:rFonts w:ascii="Arial" w:hAnsi="Arial" w:cs="Arial"/>
          <w:b/>
          <w:bCs/>
          <w:color w:val="E36C0A"/>
          <w:sz w:val="20"/>
          <w:szCs w:val="20"/>
        </w:rPr>
      </w:pPr>
    </w:p>
    <w:p w:rsidR="00CE1021" w:rsidRDefault="00CE1021" w:rsidP="00CE1021">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76" type="#_x0000_t202" style="position:absolute;left:0;text-align:left;margin-left:63.8pt;margin-top:1.75pt;width:236.1pt;height:219.5pt;z-index:251710976;mso-width-relative:margin;mso-height-relative:margin" strokecolor="white [3212]">
            <v:textbox style="mso-next-textbox:#_x0000_s1276">
              <w:txbxContent>
                <w:p w:rsidR="00E92D98" w:rsidRPr="00252C84" w:rsidRDefault="00E92D98" w:rsidP="00CE1021">
                  <w:r>
                    <w:rPr>
                      <w:noProof/>
                    </w:rPr>
                    <w:drawing>
                      <wp:inline distT="0" distB="0" distL="0" distR="0">
                        <wp:extent cx="2341378" cy="2327231"/>
                        <wp:effectExtent l="19050" t="0" r="1772" b="0"/>
                        <wp:docPr id="3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srcRect/>
                                <a:stretch>
                                  <a:fillRect/>
                                </a:stretch>
                              </pic:blipFill>
                              <pic:spPr bwMode="auto">
                                <a:xfrm>
                                  <a:off x="0" y="0"/>
                                  <a:ext cx="2341460" cy="2327312"/>
                                </a:xfrm>
                                <a:prstGeom prst="rect">
                                  <a:avLst/>
                                </a:prstGeom>
                                <a:noFill/>
                                <a:ln w="9525">
                                  <a:noFill/>
                                  <a:miter lim="800000"/>
                                  <a:headEnd/>
                                  <a:tailEnd/>
                                </a:ln>
                              </pic:spPr>
                            </pic:pic>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20" type="#_x0000_t202" style="position:absolute;left:0;text-align:left;margin-left:310.8pt;margin-top:14.3pt;width:198.85pt;height:310.6pt;z-index:251678208;mso-width-relative:margin;mso-height-relative:margin" strokecolor="#f2f2f2 [3052]">
            <v:textbox style="mso-next-textbox:#_x0000_s1220">
              <w:txbxContent>
                <w:p w:rsidR="00E92D98" w:rsidRPr="007F30E5" w:rsidRDefault="00E92D98" w:rsidP="00170FF7">
                  <w:pPr>
                    <w:spacing w:line="300" w:lineRule="atLeast"/>
                    <w:jc w:val="center"/>
                    <w:rPr>
                      <w:rFonts w:ascii="Arial" w:hAnsi="Arial" w:cs="Arial"/>
                      <w:sz w:val="16"/>
                      <w:szCs w:val="16"/>
                    </w:rPr>
                  </w:pPr>
                  <w:r w:rsidRPr="007F30E5">
                    <w:rPr>
                      <w:rFonts w:ascii="Arial" w:hAnsi="Arial" w:cs="Arial"/>
                      <w:sz w:val="16"/>
                      <w:szCs w:val="16"/>
                    </w:rPr>
                    <w:t>Houve redução da carga orgânica remanescente de 2009 a 2010 em 23,3% (CETESB,2010). A redução ocorre mesmo com o crescimento populacional, indicando que sua causa deve-se aos investimentos financeiros em tratamento de esgoto na UGRHI-08. Foram investidos até 2010 em 53 projetos/estudos e obras/serviços de afastamento e tratamento de esgotos, totalizando R$ 9.314115,61 de recurso FEHIDRO. Ressaltando São Joaquim da Barra sem Estação de Tratamento de Esgoto. Batatais destaca-se com a maior carga org</w:t>
                  </w:r>
                  <w:r>
                    <w:rPr>
                      <w:rFonts w:ascii="Arial" w:hAnsi="Arial" w:cs="Arial"/>
                      <w:sz w:val="16"/>
                      <w:szCs w:val="16"/>
                    </w:rPr>
                    <w:t>â</w:t>
                  </w:r>
                  <w:r w:rsidRPr="007F30E5">
                    <w:rPr>
                      <w:rFonts w:ascii="Arial" w:hAnsi="Arial" w:cs="Arial"/>
                      <w:sz w:val="16"/>
                      <w:szCs w:val="16"/>
                    </w:rPr>
                    <w:t>nica doméstica remanescente de 2.698 Kg DBO/dia, que acreditamos ser reduzida para o pr</w:t>
                  </w:r>
                  <w:r>
                    <w:rPr>
                      <w:rFonts w:ascii="Arial" w:hAnsi="Arial" w:cs="Arial"/>
                      <w:sz w:val="16"/>
                      <w:szCs w:val="16"/>
                    </w:rPr>
                    <w:t>ó</w:t>
                  </w:r>
                  <w:r w:rsidRPr="007F30E5">
                    <w:rPr>
                      <w:rFonts w:ascii="Arial" w:hAnsi="Arial" w:cs="Arial"/>
                      <w:sz w:val="16"/>
                      <w:szCs w:val="16"/>
                    </w:rPr>
                    <w:t xml:space="preserve">ximo ano, uma vez que a ETE foi implantada em março de 2011. Na seqüência vem São Joaquim da Barra com 2.467 kg DBO/dia e Franca com 1.213 Kg DBO/dia. </w:t>
                  </w:r>
                  <w:r w:rsidRPr="00170FF7">
                    <w:rPr>
                      <w:rFonts w:ascii="Arial" w:hAnsi="Arial" w:cs="Arial"/>
                      <w:b/>
                      <w:sz w:val="16"/>
                      <w:szCs w:val="16"/>
                    </w:rPr>
                    <w:t>Para a gestão sugere-se a manutenção da priorização de estudos, projetos e obras relacionadas a tratamento de esgoto na UGRHI 08.</w:t>
                  </w:r>
                </w:p>
              </w:txbxContent>
            </v:textbox>
          </v:shape>
        </w:pict>
      </w:r>
      <w:r>
        <w:rPr>
          <w:rFonts w:ascii="Arial" w:hAnsi="Arial" w:cs="Arial"/>
          <w:b/>
          <w:noProof/>
          <w:sz w:val="20"/>
          <w:szCs w:val="20"/>
        </w:rPr>
        <w:pict>
          <v:shape id="_x0000_s1219" type="#_x0000_t202" style="position:absolute;left:0;text-align:left;margin-left:-21.5pt;margin-top:7.15pt;width:55.9pt;height:236.45pt;z-index:251677184;mso-width-relative:margin;mso-height-relative:margin" fillcolor="#ff6" strokecolor="#f2f2f2 [3052]">
            <v:textbox style="layout-flow:vertical;mso-layout-flow-alt:bottom-to-top;mso-next-textbox:#_x0000_s1219">
              <w:txbxContent>
                <w:p w:rsidR="00E92D98" w:rsidRPr="007F30E5" w:rsidRDefault="00E92D98" w:rsidP="00CE1021">
                  <w:pPr>
                    <w:spacing w:before="120" w:line="360" w:lineRule="auto"/>
                    <w:jc w:val="center"/>
                    <w:rPr>
                      <w:rFonts w:ascii="Arial" w:hAnsi="Arial" w:cs="Arial"/>
                      <w:b/>
                      <w:sz w:val="16"/>
                      <w:szCs w:val="16"/>
                    </w:rPr>
                  </w:pPr>
                  <w:r w:rsidRPr="007F30E5">
                    <w:rPr>
                      <w:rFonts w:ascii="Arial" w:hAnsi="Arial" w:cs="Arial"/>
                      <w:b/>
                      <w:sz w:val="16"/>
                      <w:szCs w:val="16"/>
                    </w:rPr>
                    <w:t>P.05-C Carga orgânica poluidora doméstica remanescente</w:t>
                  </w:r>
                </w:p>
                <w:p w:rsidR="00E92D98" w:rsidRPr="007F30E5" w:rsidRDefault="00E92D98" w:rsidP="00CE1021">
                  <w:pPr>
                    <w:jc w:val="center"/>
                    <w:rPr>
                      <w:rFonts w:ascii="Arial" w:hAnsi="Arial" w:cs="Arial"/>
                      <w:b/>
                      <w:sz w:val="16"/>
                      <w:szCs w:val="16"/>
                    </w:rPr>
                  </w:pPr>
                  <w:r w:rsidRPr="007F30E5">
                    <w:rPr>
                      <w:rFonts w:ascii="Arial" w:hAnsi="Arial" w:cs="Arial"/>
                      <w:b/>
                      <w:sz w:val="16"/>
                      <w:szCs w:val="16"/>
                    </w:rPr>
                    <w:t>(kg DBO5,20/dia)</w:t>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23" type="#_x0000_t202" style="position:absolute;left:0;text-align:left;margin-left:39.5pt;margin-top:16.75pt;width:266.25pt;height:165.45pt;z-index:251681280;mso-width-relative:margin;mso-height-relative:margin" strokecolor="white [3212]">
            <v:textbox style="mso-next-textbox:#_x0000_s1223">
              <w:txbxContent>
                <w:p w:rsidR="00E92D98" w:rsidRPr="00252C84" w:rsidRDefault="00E92D98" w:rsidP="00CE1021">
                  <w:r>
                    <w:rPr>
                      <w:noProof/>
                    </w:rPr>
                    <w:drawing>
                      <wp:inline distT="0" distB="0" distL="0" distR="0">
                        <wp:extent cx="3402418" cy="1988288"/>
                        <wp:effectExtent l="0" t="0" r="0" b="0"/>
                        <wp:docPr id="361"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CE1021" w:rsidP="00CE1021">
      <w:pPr>
        <w:pStyle w:val="Corpodetexto"/>
        <w:spacing w:line="360" w:lineRule="auto"/>
        <w:rPr>
          <w:rFonts w:ascii="Arial" w:hAnsi="Arial" w:cs="Arial"/>
          <w:b/>
          <w:noProof/>
          <w:color w:val="E36C0A"/>
          <w:sz w:val="20"/>
          <w:szCs w:val="20"/>
        </w:rPr>
      </w:pPr>
    </w:p>
    <w:p w:rsidR="00CE1021" w:rsidRDefault="008E0DDB" w:rsidP="00CE1021">
      <w:pPr>
        <w:pStyle w:val="Corpodetexto"/>
        <w:spacing w:line="360" w:lineRule="auto"/>
        <w:rPr>
          <w:rFonts w:ascii="Arial" w:hAnsi="Arial" w:cs="Arial"/>
          <w:b/>
          <w:noProof/>
          <w:color w:val="E36C0A"/>
          <w:sz w:val="20"/>
          <w:szCs w:val="20"/>
        </w:rPr>
      </w:pPr>
      <w:r>
        <w:rPr>
          <w:rFonts w:ascii="Arial" w:hAnsi="Arial" w:cs="Arial"/>
          <w:b/>
          <w:noProof/>
          <w:color w:val="E36C0A"/>
          <w:sz w:val="20"/>
          <w:szCs w:val="20"/>
        </w:rPr>
        <w:lastRenderedPageBreak/>
        <w:pict>
          <v:shape id="_x0000_s1284" type="#_x0000_t202" style="position:absolute;left:0;text-align:left;margin-left:46.4pt;margin-top:19.35pt;width:463pt;height:27.85pt;z-index:251719168;mso-width-relative:margin;mso-height-relative:margin" fillcolor="#d8d8d8" strokecolor="white">
            <v:textbox style="mso-next-textbox:#_x0000_s1284">
              <w:txbxContent>
                <w:p w:rsidR="00E92D98" w:rsidRPr="009750F4" w:rsidRDefault="00E92D98" w:rsidP="00CE1021">
                  <w:pPr>
                    <w:spacing w:before="60"/>
                    <w:rPr>
                      <w:color w:val="0070C0"/>
                      <w:sz w:val="16"/>
                      <w:szCs w:val="16"/>
                    </w:rPr>
                  </w:pPr>
                  <w:r>
                    <w:rPr>
                      <w:rFonts w:ascii="Arial" w:hAnsi="Arial" w:cs="Arial"/>
                      <w:b/>
                      <w:bCs/>
                      <w:color w:val="943634"/>
                      <w:sz w:val="18"/>
                      <w:szCs w:val="18"/>
                    </w:rPr>
                    <w:t xml:space="preserve">                        </w:t>
                  </w:r>
                  <w:r w:rsidRPr="009750F4">
                    <w:rPr>
                      <w:rFonts w:ascii="Arial" w:hAnsi="Arial" w:cs="Arial"/>
                      <w:b/>
                      <w:bCs/>
                      <w:color w:val="0070C0"/>
                      <w:sz w:val="16"/>
                      <w:szCs w:val="16"/>
                    </w:rPr>
                    <w:t>Apresentação dos dados</w:t>
                  </w:r>
                  <w:r>
                    <w:rPr>
                      <w:rFonts w:ascii="Arial" w:hAnsi="Arial" w:cs="Arial"/>
                      <w:b/>
                      <w:bCs/>
                      <w:color w:val="0070C0"/>
                      <w:sz w:val="16"/>
                      <w:szCs w:val="16"/>
                    </w:rPr>
                    <w:t xml:space="preserve"> 2007 - 2009</w:t>
                  </w:r>
                  <w:r w:rsidRPr="009750F4">
                    <w:rPr>
                      <w:rFonts w:ascii="Arial" w:hAnsi="Arial" w:cs="Arial"/>
                      <w:b/>
                      <w:bCs/>
                      <w:color w:val="0070C0"/>
                      <w:sz w:val="16"/>
                      <w:szCs w:val="16"/>
                    </w:rPr>
                    <w:t xml:space="preserve">                                                                Comentário</w:t>
                  </w:r>
                </w:p>
              </w:txbxContent>
            </v:textbox>
          </v:shape>
        </w:pict>
      </w:r>
      <w:r>
        <w:rPr>
          <w:rFonts w:ascii="Arial" w:hAnsi="Arial" w:cs="Arial"/>
          <w:b/>
          <w:noProof/>
          <w:color w:val="E36C0A"/>
          <w:sz w:val="20"/>
          <w:szCs w:val="20"/>
        </w:rPr>
        <w:pict>
          <v:shape id="_x0000_s1283" type="#_x0000_t202" style="position:absolute;left:0;text-align:left;margin-left:-21.5pt;margin-top:-7.3pt;width:530.9pt;height:20.2pt;z-index:251718144;mso-width-relative:margin;mso-height-relative:margin" fillcolor="#d8d8d8" strokecolor="white">
            <v:textbox style="mso-next-textbox:#_x0000_s1283">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Produção de Resíduos Sólidos e Efluentes</w:t>
                  </w:r>
                </w:p>
                <w:p w:rsidR="00E92D98" w:rsidRPr="00826C1D" w:rsidRDefault="00E92D98" w:rsidP="00CE1021">
                  <w:pPr>
                    <w:rPr>
                      <w:szCs w:val="18"/>
                    </w:rPr>
                  </w:pPr>
                </w:p>
              </w:txbxContent>
            </v:textbox>
          </v:shape>
        </w:pict>
      </w:r>
    </w:p>
    <w:p w:rsidR="00CE1021" w:rsidRDefault="008E0DDB" w:rsidP="00CE1021">
      <w:pPr>
        <w:pStyle w:val="Corpodetexto"/>
        <w:spacing w:line="360" w:lineRule="auto"/>
        <w:rPr>
          <w:rFonts w:ascii="Arial" w:hAnsi="Arial" w:cs="Arial"/>
          <w:b/>
          <w:noProof/>
          <w:color w:val="E36C0A"/>
          <w:sz w:val="20"/>
          <w:szCs w:val="20"/>
        </w:rPr>
      </w:pPr>
      <w:r>
        <w:rPr>
          <w:rFonts w:ascii="Arial" w:hAnsi="Arial" w:cs="Arial"/>
          <w:b/>
          <w:noProof/>
          <w:color w:val="E36C0A"/>
          <w:sz w:val="20"/>
          <w:szCs w:val="20"/>
        </w:rPr>
        <w:pict>
          <v:shape id="_x0000_s1282" type="#_x0000_t202" style="position:absolute;left:0;text-align:left;margin-left:-21.5pt;margin-top:2.1pt;width:55.9pt;height:27.85pt;z-index:251717120;mso-width-relative:margin;mso-height-relative:margin" fillcolor="#d8d8d8" strokecolor="white">
            <v:textbox style="mso-next-textbox:#_x0000_s1282">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p>
    <w:p w:rsidR="00CE1021" w:rsidRDefault="00CE1021" w:rsidP="00CE1021">
      <w:pPr>
        <w:pStyle w:val="Corpodetexto"/>
        <w:spacing w:line="360" w:lineRule="auto"/>
        <w:rPr>
          <w:rFonts w:ascii="Arial" w:hAnsi="Arial" w:cs="Arial"/>
          <w:b/>
          <w:noProof/>
          <w:color w:val="E36C0A"/>
          <w:sz w:val="20"/>
          <w:szCs w:val="20"/>
        </w:rPr>
      </w:pPr>
    </w:p>
    <w:p w:rsidR="00CE1021" w:rsidRPr="00754DAA" w:rsidRDefault="008E0DDB" w:rsidP="00CE1021">
      <w:pPr>
        <w:pStyle w:val="Corpodetexto"/>
        <w:spacing w:line="360" w:lineRule="auto"/>
        <w:rPr>
          <w:rFonts w:ascii="Arial" w:hAnsi="Arial" w:cs="Arial"/>
          <w:b/>
          <w:noProof/>
          <w:color w:val="E36C0A"/>
          <w:sz w:val="20"/>
          <w:szCs w:val="20"/>
        </w:rPr>
      </w:pPr>
      <w:r>
        <w:rPr>
          <w:rFonts w:ascii="Arial" w:hAnsi="Arial" w:cs="Arial"/>
          <w:b/>
          <w:noProof/>
          <w:color w:val="E36C0A"/>
          <w:sz w:val="20"/>
          <w:szCs w:val="20"/>
        </w:rPr>
        <w:pict>
          <v:shape id="_x0000_s1222" type="#_x0000_t202" style="position:absolute;left:0;text-align:left;margin-left:308.55pt;margin-top:9.6pt;width:200.85pt;height:274.65pt;z-index:251680256;mso-width-relative:margin;mso-height-relative:margin" strokecolor="#f2f2f2 [3052]">
            <v:textbox style="mso-next-textbox:#_x0000_s1222">
              <w:txbxContent>
                <w:p w:rsidR="00E92D98" w:rsidRDefault="00E92D98" w:rsidP="00CE1021">
                  <w:pPr>
                    <w:spacing w:line="240" w:lineRule="atLeast"/>
                    <w:jc w:val="center"/>
                    <w:rPr>
                      <w:rFonts w:ascii="Arial" w:hAnsi="Arial" w:cs="Arial"/>
                      <w:sz w:val="16"/>
                      <w:szCs w:val="16"/>
                    </w:rPr>
                  </w:pPr>
                </w:p>
                <w:p w:rsidR="00E92D98" w:rsidRDefault="00E92D98" w:rsidP="00CE1021">
                  <w:pPr>
                    <w:spacing w:line="240" w:lineRule="atLeast"/>
                    <w:jc w:val="center"/>
                    <w:rPr>
                      <w:rFonts w:ascii="Arial" w:hAnsi="Arial" w:cs="Arial"/>
                      <w:sz w:val="16"/>
                      <w:szCs w:val="16"/>
                    </w:rPr>
                  </w:pPr>
                </w:p>
                <w:p w:rsidR="00E92D98" w:rsidRPr="00170FF7" w:rsidRDefault="00E92D98" w:rsidP="00CE1021">
                  <w:pPr>
                    <w:spacing w:line="240" w:lineRule="atLeast"/>
                    <w:jc w:val="center"/>
                    <w:rPr>
                      <w:rFonts w:ascii="Arial" w:hAnsi="Arial" w:cs="Arial"/>
                      <w:b/>
                      <w:sz w:val="16"/>
                      <w:szCs w:val="16"/>
                    </w:rPr>
                  </w:pPr>
                  <w:r w:rsidRPr="009F227F">
                    <w:rPr>
                      <w:rFonts w:ascii="Arial" w:hAnsi="Arial" w:cs="Arial"/>
                      <w:sz w:val="16"/>
                      <w:szCs w:val="16"/>
                    </w:rPr>
                    <w:t xml:space="preserve">Na UGRHI-08 foram identificadas 44 áreas contaminadas, aumento que pode ter sido decorrente de fiscalização e licenciamento de postos de combustíveis. O município com mais áreas contaminadas foi Franca com 12 (CETESB, 2010), sendo que 10 áreas são decorrentes da armazenagem inadequada de combustíveis e solventes em posto de combustível, destacando-se como ponto crítico, uma vez que a maioria dos poços encontram-se em fundo de vales, facilitando a contaminação da água subterrânea. A classificação das 44 áreas contaminadas está representada no mapa ao lado, segundo o Relatório de Áreas Contaminadas e Reabilitadas CETESB (dezembro/2010). </w:t>
                  </w:r>
                  <w:r w:rsidRPr="00170FF7">
                    <w:rPr>
                      <w:rFonts w:ascii="Arial" w:hAnsi="Arial" w:cs="Arial"/>
                      <w:b/>
                      <w:sz w:val="16"/>
                      <w:szCs w:val="16"/>
                    </w:rPr>
                    <w:t>Sugere-se para o gerenciamento intensificação da fiscalização e monitoramento do solo e água.</w:t>
                  </w:r>
                </w:p>
              </w:txbxContent>
            </v:textbox>
          </v:shape>
        </w:pict>
      </w:r>
      <w:r>
        <w:rPr>
          <w:rFonts w:ascii="Arial" w:hAnsi="Arial" w:cs="Arial"/>
          <w:b/>
          <w:noProof/>
          <w:color w:val="E36C0A"/>
          <w:sz w:val="20"/>
          <w:szCs w:val="20"/>
        </w:rPr>
        <w:pict>
          <v:shape id="_x0000_s1221" type="#_x0000_t202" style="position:absolute;left:0;text-align:left;margin-left:-21.25pt;margin-top:.6pt;width:55.65pt;height:283.65pt;z-index:251679232;mso-width-relative:margin;mso-height-relative:margin" fillcolor="#ff6" strokecolor="#f2f2f2 [3052]">
            <v:textbox style="layout-flow:vertical;mso-layout-flow-alt:bottom-to-top;mso-next-textbox:#_x0000_s1221">
              <w:txbxContent>
                <w:p w:rsidR="00E92D98" w:rsidRPr="009F227F" w:rsidRDefault="00E92D98" w:rsidP="00CE1021">
                  <w:pPr>
                    <w:spacing w:before="60" w:line="360" w:lineRule="auto"/>
                    <w:jc w:val="center"/>
                    <w:rPr>
                      <w:rFonts w:ascii="Arial" w:hAnsi="Arial" w:cs="Arial"/>
                      <w:b/>
                      <w:sz w:val="16"/>
                      <w:szCs w:val="16"/>
                    </w:rPr>
                  </w:pPr>
                  <w:r w:rsidRPr="009F227F">
                    <w:rPr>
                      <w:rFonts w:ascii="Arial" w:hAnsi="Arial" w:cs="Arial"/>
                      <w:b/>
                      <w:sz w:val="16"/>
                      <w:szCs w:val="16"/>
                    </w:rPr>
                    <w:t>P.06-A Quantidade de áreas contaminadas em que o contaminante atingiu o solo ou a água (nº)</w:t>
                  </w:r>
                </w:p>
              </w:txbxContent>
            </v:textbox>
          </v:shape>
        </w:pict>
      </w:r>
      <w:r w:rsidRPr="008E0DDB">
        <w:rPr>
          <w:rFonts w:ascii="Arial" w:hAnsi="Arial" w:cs="Arial"/>
          <w:b/>
          <w:noProof/>
          <w:sz w:val="20"/>
          <w:szCs w:val="20"/>
        </w:rPr>
        <w:pict>
          <v:shape id="_x0000_s1280" type="#_x0000_t202" style="position:absolute;left:0;text-align:left;margin-left:50.25pt;margin-top:7.3pt;width:181.05pt;height:86.25pt;z-index:251715072;mso-width-relative:margin;mso-height-relative:margin" strokecolor="white [3212]">
            <v:textbox style="mso-next-textbox:#_x0000_s1280">
              <w:txbxContent>
                <w:p w:rsidR="00E92D98" w:rsidRPr="00252C84" w:rsidRDefault="00E92D98" w:rsidP="00CE1021">
                  <w:r>
                    <w:rPr>
                      <w:noProof/>
                    </w:rPr>
                    <w:drawing>
                      <wp:inline distT="0" distB="0" distL="0" distR="0">
                        <wp:extent cx="2332990" cy="961390"/>
                        <wp:effectExtent l="0" t="0" r="0" b="0"/>
                        <wp:docPr id="36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81" type="#_x0000_t202" style="position:absolute;left:0;text-align:left;margin-left:50.25pt;margin-top:7.3pt;width:244.6pt;height:204pt;z-index:251716096;mso-width-relative:margin;mso-height-relative:margin" strokecolor="white [3212]">
            <v:textbox style="mso-next-textbox:#_x0000_s1281">
              <w:txbxContent>
                <w:p w:rsidR="00E92D98" w:rsidRPr="00252C84" w:rsidRDefault="00E92D98" w:rsidP="00CE1021">
                  <w:r>
                    <w:rPr>
                      <w:noProof/>
                    </w:rPr>
                    <w:drawing>
                      <wp:inline distT="0" distB="0" distL="0" distR="0">
                        <wp:extent cx="2330387" cy="2360428"/>
                        <wp:effectExtent l="19050" t="0" r="0" b="0"/>
                        <wp:docPr id="363" name="Imagem 3" descr="imagem sapu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imagem sapucai"/>
                                <pic:cNvPicPr>
                                  <a:picLocks noChangeAspect="1" noChangeArrowheads="1"/>
                                </pic:cNvPicPr>
                              </pic:nvPicPr>
                              <pic:blipFill>
                                <a:blip r:embed="rId37"/>
                                <a:srcRect/>
                                <a:stretch>
                                  <a:fillRect/>
                                </a:stretch>
                              </pic:blipFill>
                              <pic:spPr bwMode="auto">
                                <a:xfrm>
                                  <a:off x="0" y="0"/>
                                  <a:ext cx="2332990" cy="2363065"/>
                                </a:xfrm>
                                <a:prstGeom prst="rect">
                                  <a:avLst/>
                                </a:prstGeom>
                                <a:noFill/>
                                <a:ln w="9525">
                                  <a:noFill/>
                                  <a:miter lim="800000"/>
                                  <a:headEnd/>
                                  <a:tailEnd/>
                                </a:ln>
                              </pic:spPr>
                            </pic:pic>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170FF7" w:rsidRDefault="00170FF7"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26" type="#_x0000_t202" style="position:absolute;left:0;text-align:left;margin-left:308.55pt;margin-top:4.35pt;width:198.85pt;height:175.85pt;z-index:251684352;mso-width-relative:margin;mso-height-relative:margin" strokecolor="#f2f2f2 [3052]">
            <v:textbox style="mso-next-textbox:#_x0000_s1226">
              <w:txbxContent>
                <w:p w:rsidR="00E92D98" w:rsidRPr="00531CC9" w:rsidRDefault="00E92D98" w:rsidP="00170FF7">
                  <w:pPr>
                    <w:spacing w:line="300" w:lineRule="atLeast"/>
                    <w:jc w:val="center"/>
                    <w:rPr>
                      <w:rFonts w:ascii="Arial" w:hAnsi="Arial" w:cs="Arial"/>
                      <w:sz w:val="16"/>
                      <w:szCs w:val="16"/>
                    </w:rPr>
                  </w:pPr>
                  <w:r w:rsidRPr="00531CC9">
                    <w:rPr>
                      <w:rFonts w:ascii="Arial" w:hAnsi="Arial" w:cs="Arial"/>
                      <w:sz w:val="16"/>
                      <w:szCs w:val="16"/>
                    </w:rPr>
                    <w:t>Segundo o Relatório de Emergências Atendidas pela CETESB 2010, a UGRHI 08 apresentou 7 emergências qu</w:t>
                  </w:r>
                  <w:r>
                    <w:rPr>
                      <w:rFonts w:ascii="Arial" w:hAnsi="Arial" w:cs="Arial"/>
                      <w:sz w:val="16"/>
                      <w:szCs w:val="16"/>
                    </w:rPr>
                    <w:t>í</w:t>
                  </w:r>
                  <w:r w:rsidRPr="00531CC9">
                    <w:rPr>
                      <w:rFonts w:ascii="Arial" w:hAnsi="Arial" w:cs="Arial"/>
                      <w:sz w:val="16"/>
                      <w:szCs w:val="16"/>
                    </w:rPr>
                    <w:t xml:space="preserve">micas no ano de 2010. Sendo a principal atividade geradora o transporte rodoviário de liquido inflamáveis, contaminando principalmente o solo, com ocorrências de contaminação no corpo hídrico. Destacando-se o município de Aramina como a região onde ocorreu os principais acidentes químicos na Rodovia Anhanguera. </w:t>
                  </w:r>
                  <w:r w:rsidRPr="00170FF7">
                    <w:rPr>
                      <w:rFonts w:ascii="Arial" w:hAnsi="Arial" w:cs="Arial"/>
                      <w:b/>
                      <w:sz w:val="16"/>
                      <w:szCs w:val="16"/>
                    </w:rPr>
                    <w:t>Sugere-se para gestão trabalho de conscientização com as transportadoras.</w:t>
                  </w:r>
                </w:p>
              </w:txbxContent>
            </v:textbox>
          </v:shape>
        </w:pict>
      </w:r>
      <w:r>
        <w:rPr>
          <w:rFonts w:ascii="Arial" w:hAnsi="Arial" w:cs="Arial"/>
          <w:b/>
          <w:noProof/>
          <w:sz w:val="20"/>
          <w:szCs w:val="20"/>
        </w:rPr>
        <w:pict>
          <v:shape id="_x0000_s1225" type="#_x0000_t202" style="position:absolute;left:0;text-align:left;margin-left:-21pt;margin-top:4.35pt;width:55.65pt;height:141.75pt;z-index:251683328;mso-width-relative:margin;mso-height-relative:margin" fillcolor="#ff6" strokecolor="#f2f2f2 [3052]">
            <v:textbox style="layout-flow:vertical;mso-layout-flow-alt:bottom-to-top;mso-next-textbox:#_x0000_s1225">
              <w:txbxContent>
                <w:p w:rsidR="00E92D98" w:rsidRPr="00924D16" w:rsidRDefault="00E92D98" w:rsidP="00CE1021">
                  <w:pPr>
                    <w:spacing w:line="360" w:lineRule="auto"/>
                    <w:jc w:val="center"/>
                    <w:rPr>
                      <w:rFonts w:ascii="Arial" w:hAnsi="Arial" w:cs="Arial"/>
                      <w:sz w:val="16"/>
                      <w:szCs w:val="16"/>
                    </w:rPr>
                  </w:pPr>
                  <w:r w:rsidRPr="00531CC9">
                    <w:rPr>
                      <w:rFonts w:ascii="Arial" w:hAnsi="Arial" w:cs="Arial"/>
                      <w:b/>
                      <w:sz w:val="16"/>
                      <w:szCs w:val="16"/>
                    </w:rPr>
                    <w:t xml:space="preserve">P.06-B Ocorrência de descarga/derrame de produtos químicos no solo ou na água (n° de </w:t>
                  </w:r>
                  <w:r w:rsidRPr="00924D16">
                    <w:rPr>
                      <w:rFonts w:ascii="Arial" w:hAnsi="Arial" w:cs="Arial"/>
                      <w:sz w:val="16"/>
                      <w:szCs w:val="16"/>
                    </w:rPr>
                    <w:t>ocorrências/ano)</w:t>
                  </w:r>
                </w:p>
              </w:txbxContent>
            </v:textbox>
          </v:shape>
        </w:pic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27" type="#_x0000_t202" style="position:absolute;left:0;text-align:left;margin-left:59.6pt;margin-top:3.35pt;width:224.6pt;height:115.95pt;z-index:251685376;mso-width-relative:margin;mso-height-relative:margin" strokecolor="white [3212]">
            <v:textbox style="mso-next-textbox:#_x0000_s1227;mso-fit-shape-to-text:t">
              <w:txbxContent>
                <w:p w:rsidR="00E92D98" w:rsidRPr="00252C84" w:rsidRDefault="00E92D98" w:rsidP="00CE1021">
                  <w:r>
                    <w:rPr>
                      <w:noProof/>
                    </w:rPr>
                    <w:drawing>
                      <wp:inline distT="0" distB="0" distL="0" distR="0">
                        <wp:extent cx="2828261" cy="1371600"/>
                        <wp:effectExtent l="0" t="0" r="0" b="0"/>
                        <wp:docPr id="364"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CE1021" w:rsidP="00CE1021">
      <w:pPr>
        <w:pStyle w:val="Corpodetexto"/>
        <w:spacing w:line="360" w:lineRule="auto"/>
        <w:jc w:val="center"/>
        <w:rPr>
          <w:rFonts w:ascii="Arial" w:hAnsi="Arial" w:cs="Arial"/>
          <w:b/>
          <w:bCs/>
          <w:color w:val="943634"/>
        </w:rPr>
      </w:pPr>
    </w:p>
    <w:p w:rsidR="00CE1021" w:rsidRDefault="008E0DDB" w:rsidP="00CE1021">
      <w:pPr>
        <w:jc w:val="both"/>
        <w:rPr>
          <w:rFonts w:ascii="Arial" w:hAnsi="Arial" w:cs="Arial"/>
          <w:b/>
          <w:bCs/>
          <w:color w:val="943634"/>
          <w:sz w:val="20"/>
          <w:szCs w:val="20"/>
        </w:rPr>
      </w:pPr>
      <w:r>
        <w:rPr>
          <w:rFonts w:ascii="Arial" w:hAnsi="Arial" w:cs="Arial"/>
          <w:b/>
          <w:bCs/>
          <w:noProof/>
          <w:color w:val="943634"/>
          <w:sz w:val="20"/>
          <w:szCs w:val="20"/>
        </w:rPr>
        <w:lastRenderedPageBreak/>
        <w:pict>
          <v:shape id="_x0000_s1285" type="#_x0000_t202" style="position:absolute;left:0;text-align:left;margin-left:-21.5pt;margin-top:21.2pt;width:55.9pt;height:27.85pt;z-index:251720192;mso-width-relative:margin;mso-height-relative:margin" fillcolor="#d8d8d8" strokecolor="white">
            <v:textbox style="mso-next-textbox:#_x0000_s1285">
              <w:txbxContent>
                <w:p w:rsidR="00E92D98" w:rsidRPr="002A2FC2" w:rsidRDefault="00E92D98" w:rsidP="00CE1021">
                  <w:pPr>
                    <w:spacing w:before="40"/>
                    <w:rPr>
                      <w:color w:val="0070C0"/>
                      <w:sz w:val="16"/>
                      <w:szCs w:val="16"/>
                    </w:rPr>
                  </w:pPr>
                  <w:r w:rsidRPr="002A2FC2">
                    <w:rPr>
                      <w:rFonts w:ascii="Arial" w:hAnsi="Arial" w:cs="Arial"/>
                      <w:b/>
                      <w:bCs/>
                      <w:color w:val="0070C0"/>
                      <w:sz w:val="16"/>
                      <w:szCs w:val="16"/>
                    </w:rPr>
                    <w:t>Grandeza/ Parâmetro</w:t>
                  </w:r>
                </w:p>
              </w:txbxContent>
            </v:textbox>
          </v:shape>
        </w:pict>
      </w:r>
      <w:r>
        <w:rPr>
          <w:rFonts w:ascii="Arial" w:hAnsi="Arial" w:cs="Arial"/>
          <w:b/>
          <w:bCs/>
          <w:noProof/>
          <w:color w:val="943634"/>
          <w:sz w:val="20"/>
          <w:szCs w:val="20"/>
        </w:rPr>
        <w:pict>
          <v:shape id="_x0000_s1287" type="#_x0000_t202" style="position:absolute;left:0;text-align:left;margin-left:46.4pt;margin-top:21.2pt;width:463pt;height:27.85pt;z-index:251722240;mso-width-relative:margin;mso-height-relative:margin" fillcolor="#d8d8d8" strokecolor="white">
            <v:textbox style="mso-next-textbox:#_x0000_s1287">
              <w:txbxContent>
                <w:p w:rsidR="00E92D98" w:rsidRPr="009750F4" w:rsidRDefault="00E92D98" w:rsidP="00CE1021">
                  <w:pPr>
                    <w:spacing w:before="60"/>
                    <w:rPr>
                      <w:color w:val="0070C0"/>
                      <w:sz w:val="16"/>
                      <w:szCs w:val="16"/>
                    </w:rPr>
                  </w:pPr>
                  <w:r>
                    <w:rPr>
                      <w:rFonts w:ascii="Arial" w:hAnsi="Arial" w:cs="Arial"/>
                      <w:b/>
                      <w:bCs/>
                      <w:color w:val="943634"/>
                      <w:sz w:val="18"/>
                      <w:szCs w:val="18"/>
                    </w:rPr>
                    <w:t xml:space="preserve">                           </w:t>
                  </w:r>
                  <w:r w:rsidRPr="009750F4">
                    <w:rPr>
                      <w:rFonts w:ascii="Arial" w:hAnsi="Arial" w:cs="Arial"/>
                      <w:b/>
                      <w:bCs/>
                      <w:color w:val="0070C0"/>
                      <w:sz w:val="16"/>
                      <w:szCs w:val="16"/>
                    </w:rPr>
                    <w:t>Apresentação dos dados</w:t>
                  </w:r>
                  <w:r>
                    <w:rPr>
                      <w:rFonts w:ascii="Arial" w:hAnsi="Arial" w:cs="Arial"/>
                      <w:b/>
                      <w:bCs/>
                      <w:color w:val="0070C0"/>
                      <w:sz w:val="16"/>
                      <w:szCs w:val="16"/>
                    </w:rPr>
                    <w:t xml:space="preserve"> </w:t>
                  </w:r>
                  <w:r>
                    <w:rPr>
                      <w:rFonts w:ascii="Arial" w:hAnsi="Arial" w:cs="Arial"/>
                      <w:b/>
                      <w:bCs/>
                      <w:color w:val="0070C0"/>
                      <w:sz w:val="16"/>
                      <w:szCs w:val="16"/>
                    </w:rPr>
                    <w:tab/>
                  </w:r>
                  <w:r>
                    <w:rPr>
                      <w:rFonts w:ascii="Arial" w:hAnsi="Arial" w:cs="Arial"/>
                      <w:b/>
                      <w:bCs/>
                      <w:color w:val="0070C0"/>
                      <w:sz w:val="16"/>
                      <w:szCs w:val="16"/>
                    </w:rPr>
                    <w:tab/>
                  </w:r>
                  <w:r>
                    <w:rPr>
                      <w:rFonts w:ascii="Arial" w:hAnsi="Arial" w:cs="Arial"/>
                      <w:b/>
                      <w:bCs/>
                      <w:color w:val="0070C0"/>
                      <w:sz w:val="16"/>
                      <w:szCs w:val="16"/>
                    </w:rPr>
                    <w:tab/>
                  </w:r>
                  <w:r>
                    <w:rPr>
                      <w:rFonts w:ascii="Arial" w:hAnsi="Arial" w:cs="Arial"/>
                      <w:b/>
                      <w:bCs/>
                      <w:color w:val="0070C0"/>
                      <w:sz w:val="16"/>
                      <w:szCs w:val="16"/>
                    </w:rPr>
                    <w:tab/>
                  </w:r>
                  <w:r>
                    <w:rPr>
                      <w:rFonts w:ascii="Arial" w:hAnsi="Arial" w:cs="Arial"/>
                      <w:b/>
                      <w:bCs/>
                      <w:color w:val="0070C0"/>
                      <w:sz w:val="16"/>
                      <w:szCs w:val="16"/>
                    </w:rPr>
                    <w:tab/>
                  </w:r>
                  <w:r>
                    <w:rPr>
                      <w:rFonts w:ascii="Arial" w:hAnsi="Arial" w:cs="Arial"/>
                      <w:b/>
                      <w:bCs/>
                      <w:color w:val="0070C0"/>
                      <w:sz w:val="16"/>
                      <w:szCs w:val="16"/>
                    </w:rPr>
                    <w:tab/>
                  </w:r>
                  <w:r w:rsidRPr="009750F4">
                    <w:rPr>
                      <w:rFonts w:ascii="Arial" w:hAnsi="Arial" w:cs="Arial"/>
                      <w:b/>
                      <w:bCs/>
                      <w:color w:val="0070C0"/>
                      <w:sz w:val="16"/>
                      <w:szCs w:val="16"/>
                    </w:rPr>
                    <w:t>Comentário</w:t>
                  </w:r>
                </w:p>
              </w:txbxContent>
            </v:textbox>
          </v:shape>
        </w:pict>
      </w:r>
      <w:r>
        <w:rPr>
          <w:rFonts w:ascii="Arial" w:hAnsi="Arial" w:cs="Arial"/>
          <w:b/>
          <w:bCs/>
          <w:noProof/>
          <w:color w:val="943634"/>
          <w:sz w:val="20"/>
          <w:szCs w:val="20"/>
        </w:rPr>
        <w:pict>
          <v:shape id="_x0000_s1286" type="#_x0000_t202" style="position:absolute;left:0;text-align:left;margin-left:-21.5pt;margin-top:-5.45pt;width:530.9pt;height:20.2pt;z-index:251721216;mso-width-relative:margin;mso-height-relative:margin" fillcolor="#d8d8d8" strokecolor="white">
            <v:textbox style="mso-next-textbox:#_x0000_s1286">
              <w:txbxContent>
                <w:p w:rsidR="00E92D98" w:rsidRPr="002A2FC2" w:rsidRDefault="00E92D98" w:rsidP="00CE1021">
                  <w:pPr>
                    <w:jc w:val="center"/>
                    <w:rPr>
                      <w:rFonts w:ascii="Arial" w:hAnsi="Arial" w:cs="Arial"/>
                      <w:b/>
                      <w:bCs/>
                      <w:color w:val="0070C0"/>
                      <w:sz w:val="20"/>
                      <w:szCs w:val="20"/>
                    </w:rPr>
                  </w:pPr>
                  <w:r>
                    <w:rPr>
                      <w:rFonts w:ascii="Arial" w:hAnsi="Arial" w:cs="Arial"/>
                      <w:b/>
                      <w:bCs/>
                      <w:color w:val="0070C0"/>
                      <w:sz w:val="20"/>
                      <w:szCs w:val="20"/>
                    </w:rPr>
                    <w:t>PRESSÃO: Interferências em Corpos d’Água</w:t>
                  </w:r>
                </w:p>
                <w:p w:rsidR="00E92D98" w:rsidRPr="00826C1D" w:rsidRDefault="00E92D98" w:rsidP="00CE1021">
                  <w:pPr>
                    <w:rPr>
                      <w:szCs w:val="18"/>
                    </w:rPr>
                  </w:pPr>
                </w:p>
              </w:txbxContent>
            </v:textbox>
          </v:shape>
        </w:pict>
      </w:r>
    </w:p>
    <w:p w:rsidR="00CE1021" w:rsidRDefault="00CE1021" w:rsidP="00CE1021">
      <w:pPr>
        <w:jc w:val="both"/>
        <w:rPr>
          <w:rFonts w:ascii="Arial" w:hAnsi="Arial" w:cs="Arial"/>
          <w:b/>
          <w:bCs/>
          <w:color w:val="943634"/>
          <w:sz w:val="20"/>
          <w:szCs w:val="20"/>
        </w:rPr>
      </w:pPr>
    </w:p>
    <w:p w:rsidR="00CE1021" w:rsidRPr="00190436" w:rsidRDefault="008E0DDB" w:rsidP="00CE1021">
      <w:pPr>
        <w:jc w:val="both"/>
        <w:rPr>
          <w:rFonts w:ascii="Arial" w:hAnsi="Arial" w:cs="Arial"/>
          <w:b/>
          <w:bCs/>
          <w:color w:val="943634"/>
          <w:sz w:val="20"/>
          <w:szCs w:val="20"/>
        </w:rPr>
      </w:pPr>
      <w:r w:rsidRPr="008E0DDB">
        <w:rPr>
          <w:rFonts w:ascii="Arial" w:hAnsi="Arial" w:cs="Arial"/>
          <w:b/>
          <w:noProof/>
          <w:sz w:val="20"/>
          <w:szCs w:val="20"/>
        </w:rPr>
        <w:pict>
          <v:shape id="_x0000_s1229" type="#_x0000_t202" style="position:absolute;left:0;text-align:left;margin-left:46.4pt;margin-top:7.35pt;width:249.6pt;height:310.45pt;z-index:251687424;mso-width-relative:margin;mso-height-relative:margin" strokecolor="white [3212]">
            <v:textbox style="mso-next-textbox:#_x0000_s1229">
              <w:txbxContent>
                <w:p w:rsidR="00E92D98" w:rsidRPr="00F56396" w:rsidRDefault="00E92D98" w:rsidP="00CE1021">
                  <w:pPr>
                    <w:jc w:val="center"/>
                    <w:rPr>
                      <w:rFonts w:ascii="Arial" w:hAnsi="Arial" w:cs="Arial"/>
                      <w:b/>
                      <w:noProof/>
                      <w:sz w:val="20"/>
                      <w:szCs w:val="20"/>
                    </w:rPr>
                  </w:pPr>
                  <w:r w:rsidRPr="00F56396">
                    <w:rPr>
                      <w:rFonts w:ascii="Arial" w:hAnsi="Arial" w:cs="Arial"/>
                      <w:b/>
                      <w:noProof/>
                      <w:sz w:val="20"/>
                      <w:szCs w:val="20"/>
                    </w:rPr>
                    <w:t>Mapa de Voçorocas (IPT/DAEE.1994)</w:t>
                  </w:r>
                </w:p>
                <w:p w:rsidR="00E92D98" w:rsidRDefault="00E92D98" w:rsidP="00CE1021">
                  <w:pPr>
                    <w:rPr>
                      <w:noProof/>
                    </w:rPr>
                  </w:pPr>
                </w:p>
                <w:p w:rsidR="00E92D98" w:rsidRPr="00F56396" w:rsidRDefault="00E92D98" w:rsidP="00CE1021">
                  <w:r>
                    <w:rPr>
                      <w:noProof/>
                    </w:rPr>
                    <w:drawing>
                      <wp:inline distT="0" distB="0" distL="0" distR="0">
                        <wp:extent cx="2979420" cy="2727325"/>
                        <wp:effectExtent l="19050" t="0" r="0" b="0"/>
                        <wp:docPr id="365" name="Imagem 4" descr="imagem boçor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imagem boçorocas"/>
                                <pic:cNvPicPr>
                                  <a:picLocks noChangeAspect="1" noChangeArrowheads="1"/>
                                </pic:cNvPicPr>
                              </pic:nvPicPr>
                              <pic:blipFill>
                                <a:blip r:embed="rId39"/>
                                <a:srcRect/>
                                <a:stretch>
                                  <a:fillRect/>
                                </a:stretch>
                              </pic:blipFill>
                              <pic:spPr bwMode="auto">
                                <a:xfrm>
                                  <a:off x="0" y="0"/>
                                  <a:ext cx="2979420" cy="2727325"/>
                                </a:xfrm>
                                <a:prstGeom prst="rect">
                                  <a:avLst/>
                                </a:prstGeom>
                                <a:noFill/>
                                <a:ln w="9525">
                                  <a:noFill/>
                                  <a:miter lim="800000"/>
                                  <a:headEnd/>
                                  <a:tailEnd/>
                                </a:ln>
                              </pic:spPr>
                            </pic:pic>
                          </a:graphicData>
                        </a:graphic>
                      </wp:inline>
                    </w:drawing>
                  </w:r>
                </w:p>
              </w:txbxContent>
            </v:textbox>
          </v:shape>
        </w:pict>
      </w:r>
    </w:p>
    <w:p w:rsidR="00CE1021" w:rsidRDefault="00CE1021" w:rsidP="00CE1021">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88" type="#_x0000_t202" style="position:absolute;left:0;text-align:left;margin-left:305.15pt;margin-top:4.4pt;width:204.25pt;height:310.45pt;z-index:251723264;mso-width-relative:margin;mso-height-relative:margin" strokecolor="#f2f2f2 [3052]">
            <v:textbox style="mso-next-textbox:#_x0000_s1288">
              <w:txbxContent>
                <w:p w:rsidR="00E92D98" w:rsidRPr="00170FF7" w:rsidRDefault="00E92D98" w:rsidP="00CE1021">
                  <w:pPr>
                    <w:spacing w:line="240" w:lineRule="atLeast"/>
                    <w:jc w:val="center"/>
                    <w:rPr>
                      <w:rFonts w:ascii="Arial" w:hAnsi="Arial" w:cs="Arial"/>
                      <w:b/>
                      <w:sz w:val="16"/>
                      <w:szCs w:val="16"/>
                    </w:rPr>
                  </w:pPr>
                  <w:r w:rsidRPr="00F56396">
                    <w:rPr>
                      <w:rFonts w:ascii="Arial" w:hAnsi="Arial" w:cs="Arial"/>
                      <w:sz w:val="16"/>
                      <w:szCs w:val="16"/>
                    </w:rPr>
                    <w:t xml:space="preserve">A UGRHI-08 é a oitava Bacia Hidrográfica com o maior número de voçorocas, apresentando 0,025 voçorocas por km2, segundo DAEE/IPT (1995). A suscetibilidade natural à erosão dos terrenos da Bacia, mostra-se preponderantemente média a baixa. Dos 22 municípios com sede na UGRHI, 15 mostram-se de baixa suscetibilidade à erosão. Por outro lado, seis municípios apresentam mais de 50% de sua área em zonas de alta suscetibilidade à erosão. Dentre esses, os casos mais graves situam-se em Franca (77%) e Santo Antônio da Alegria (93%). Outro número indicativo da situação é a ocorrência de 49 erosões na área urbana, 32 somente no município de Franca e nove em Santo Antônio da Alegria. Ressaltando que se trata de número desatualizado, pois o último levantamento global de campo foi efetuado em 1989 (IPT, 2008). </w:t>
                  </w:r>
                  <w:r w:rsidRPr="00170FF7">
                    <w:rPr>
                      <w:rFonts w:ascii="Arial" w:hAnsi="Arial" w:cs="Arial"/>
                      <w:b/>
                      <w:sz w:val="16"/>
                      <w:szCs w:val="16"/>
                    </w:rPr>
                    <w:t>Para a gestão dessas áreas sugerimos serem priorizadas nos planos de prevenção e controle de erosão, principalmente aquelas junto às áreas urbanas da UGRHI, evitando o desenvolvimento de erosões causando assoreamento da calha de cursos d’água, resultando em diminuição das disponibilidades hídricas superficiais, além de favorecer inundações.</w:t>
                  </w:r>
                </w:p>
              </w:txbxContent>
            </v:textbox>
          </v:shape>
        </w:pict>
      </w:r>
      <w:r w:rsidRPr="008E0DDB">
        <w:rPr>
          <w:rFonts w:ascii="Arial" w:hAnsi="Arial" w:cs="Arial"/>
          <w:b/>
          <w:bCs/>
          <w:noProof/>
          <w:color w:val="943634"/>
          <w:sz w:val="20"/>
          <w:szCs w:val="20"/>
          <w:lang w:eastAsia="en-US"/>
        </w:rPr>
        <w:pict>
          <v:shape id="_x0000_s1228" type="#_x0000_t202" style="position:absolute;left:0;text-align:left;margin-left:-21.25pt;margin-top:4.4pt;width:55.9pt;height:310.45pt;z-index:251686400;mso-width-relative:margin;mso-height-relative:margin" strokecolor="#f2f2f2 [3052]">
            <v:textbox style="layout-flow:vertical;mso-layout-flow-alt:bottom-to-top;mso-next-textbox:#_x0000_s1228">
              <w:txbxContent>
                <w:p w:rsidR="00E92D98" w:rsidRPr="00F56396" w:rsidRDefault="00E92D98" w:rsidP="00CE1021">
                  <w:pPr>
                    <w:spacing w:before="120" w:line="360" w:lineRule="auto"/>
                    <w:jc w:val="center"/>
                    <w:rPr>
                      <w:rFonts w:ascii="Arial" w:hAnsi="Arial" w:cs="Arial"/>
                      <w:sz w:val="18"/>
                      <w:szCs w:val="18"/>
                    </w:rPr>
                  </w:pPr>
                  <w:r w:rsidRPr="00F56396">
                    <w:rPr>
                      <w:rFonts w:ascii="Arial" w:hAnsi="Arial" w:cs="Arial"/>
                      <w:b/>
                      <w:sz w:val="18"/>
                      <w:szCs w:val="18"/>
                    </w:rPr>
                    <w:t xml:space="preserve">P.07-A Quantidade de </w:t>
                  </w:r>
                  <w:r>
                    <w:rPr>
                      <w:rFonts w:ascii="Arial" w:hAnsi="Arial" w:cs="Arial"/>
                      <w:b/>
                      <w:sz w:val="18"/>
                      <w:szCs w:val="18"/>
                    </w:rPr>
                    <w:t>v</w:t>
                  </w:r>
                  <w:r w:rsidRPr="00F56396">
                    <w:rPr>
                      <w:rFonts w:ascii="Arial" w:hAnsi="Arial" w:cs="Arial"/>
                      <w:b/>
                      <w:sz w:val="18"/>
                      <w:szCs w:val="18"/>
                    </w:rPr>
                    <w:t>oçorocas em relação à área total da bacia (nº/km2)</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89" type="#_x0000_t202" style="position:absolute;left:0;text-align:left;margin-left:46.4pt;margin-top:14pt;width:239.4pt;height:297.25pt;z-index:251724288;mso-width-relative:margin;mso-height-relative:margin" strokecolor="white [3212]">
            <v:textbox style="mso-next-textbox:#_x0000_s1289">
              <w:txbxContent>
                <w:p w:rsidR="00E92D98" w:rsidRDefault="00E92D98" w:rsidP="00CE1021">
                  <w:pPr>
                    <w:rPr>
                      <w:noProof/>
                      <w:szCs w:val="16"/>
                    </w:rPr>
                  </w:pPr>
                </w:p>
                <w:p w:rsidR="00E92D98" w:rsidRDefault="00E92D98" w:rsidP="00CE1021">
                  <w:pPr>
                    <w:rPr>
                      <w:noProof/>
                      <w:szCs w:val="16"/>
                    </w:rPr>
                  </w:pPr>
                </w:p>
                <w:p w:rsidR="00E92D98" w:rsidRPr="00A414A1" w:rsidRDefault="00E92D98" w:rsidP="00CE1021">
                  <w:pPr>
                    <w:rPr>
                      <w:szCs w:val="16"/>
                    </w:rPr>
                  </w:pPr>
                  <w:r>
                    <w:rPr>
                      <w:noProof/>
                      <w:szCs w:val="16"/>
                    </w:rPr>
                    <w:drawing>
                      <wp:inline distT="0" distB="0" distL="0" distR="0">
                        <wp:extent cx="2998382" cy="2987749"/>
                        <wp:effectExtent l="0" t="0" r="0" b="0"/>
                        <wp:docPr id="36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w:pict>
      </w:r>
      <w:r>
        <w:rPr>
          <w:rFonts w:ascii="Arial" w:hAnsi="Arial" w:cs="Arial"/>
          <w:b/>
          <w:noProof/>
          <w:sz w:val="20"/>
          <w:szCs w:val="20"/>
        </w:rPr>
        <w:pict>
          <v:shape id="_x0000_s1231" type="#_x0000_t202" style="position:absolute;left:0;text-align:left;margin-left:296pt;margin-top:15.5pt;width:213.4pt;height:326.15pt;z-index:251689472;mso-width-relative:margin;mso-height-relative:margin" fillcolor="white [3212]" strokecolor="#f2f2f2 [3052]">
            <v:textbox style="mso-next-textbox:#_x0000_s1231">
              <w:txbxContent>
                <w:p w:rsidR="00E92D98" w:rsidRPr="00170FF7" w:rsidRDefault="00E92D98" w:rsidP="00170FF7">
                  <w:pPr>
                    <w:spacing w:line="300" w:lineRule="atLeast"/>
                    <w:jc w:val="center"/>
                    <w:rPr>
                      <w:rFonts w:ascii="Arial" w:hAnsi="Arial" w:cs="Arial"/>
                      <w:b/>
                      <w:sz w:val="16"/>
                      <w:szCs w:val="16"/>
                    </w:rPr>
                  </w:pPr>
                  <w:r w:rsidRPr="00A414A1">
                    <w:rPr>
                      <w:rFonts w:ascii="Arial" w:hAnsi="Arial" w:cs="Arial"/>
                      <w:sz w:val="16"/>
                      <w:szCs w:val="16"/>
                    </w:rPr>
                    <w:t>O número de barramentos hidrelétricos da UGRHI-08 é de 8, representando 9,6% dos 83 barramentos hidrelétricos existentes no Estado de São Paulo (ANEEL, 2010). Estão localizados em Guaíra,</w:t>
                  </w:r>
                  <w:r>
                    <w:rPr>
                      <w:rFonts w:ascii="Arial" w:hAnsi="Arial" w:cs="Arial"/>
                      <w:sz w:val="16"/>
                      <w:szCs w:val="16"/>
                    </w:rPr>
                    <w:t xml:space="preserve"> Igarapava, Migueló</w:t>
                  </w:r>
                  <w:r w:rsidRPr="00A414A1">
                    <w:rPr>
                      <w:rFonts w:ascii="Arial" w:hAnsi="Arial" w:cs="Arial"/>
                      <w:sz w:val="16"/>
                      <w:szCs w:val="16"/>
                    </w:rPr>
                    <w:t xml:space="preserve">polis, Rifaina, Guará, Nuporanga e Patrocinio Paulista. O Parecer Técnico 02/10 da Câmara Técnica de Planejamento e Gestão do CBH-SMG sugeriu a implantação de programas mitigadores de maneira que as PCH's não impactem a ictiofauna local. A UGRHI 08 possui 195 dos 8.690 barramentos de natureza geral do Estado de São Paulo. Batatais possui 44 e Guaíra possui 29 deles (DAEE, 2010). Destacando-se Guaíra como município que apresenta pobre disponibilidade hídrica superficial pela demanda na irrigação, os barramentos funcionam principalmente como reserva de produção de água. </w:t>
                  </w:r>
                  <w:r w:rsidRPr="00170FF7">
                    <w:rPr>
                      <w:rFonts w:ascii="Arial" w:hAnsi="Arial" w:cs="Arial"/>
                      <w:b/>
                      <w:sz w:val="16"/>
                      <w:szCs w:val="16"/>
                    </w:rPr>
                    <w:t>Para a gestão sugerimos incentivo pelos órgão responsáveis a implantação de novos barramentos, desde que estudos técnicos apontem a viabilidade, com finalidade de reservação para aumentar a disponibilidade hídrica superficial.</w:t>
                  </w:r>
                </w:p>
              </w:txbxContent>
            </v:textbox>
          </v:shape>
        </w:pict>
      </w:r>
      <w:r>
        <w:rPr>
          <w:rFonts w:ascii="Arial" w:hAnsi="Arial" w:cs="Arial"/>
          <w:b/>
          <w:noProof/>
          <w:sz w:val="20"/>
          <w:szCs w:val="20"/>
        </w:rPr>
        <w:pict>
          <v:shape id="_x0000_s1230" type="#_x0000_t202" style="position:absolute;left:0;text-align:left;margin-left:-21.25pt;margin-top:14pt;width:55.9pt;height:141.5pt;z-index:251688448;mso-width-relative:margin;mso-height-relative:margin" strokecolor="#f2f2f2 [3052]">
            <v:textbox style="layout-flow:vertical;mso-layout-flow-alt:bottom-to-top;mso-next-textbox:#_x0000_s1230">
              <w:txbxContent>
                <w:p w:rsidR="00E92D98" w:rsidRPr="00A414A1" w:rsidRDefault="00E92D98" w:rsidP="00CE1021">
                  <w:pPr>
                    <w:spacing w:before="60" w:line="360" w:lineRule="auto"/>
                    <w:jc w:val="center"/>
                    <w:rPr>
                      <w:rFonts w:ascii="Arial" w:hAnsi="Arial" w:cs="Arial"/>
                      <w:b/>
                      <w:sz w:val="18"/>
                      <w:szCs w:val="18"/>
                    </w:rPr>
                  </w:pPr>
                  <w:r w:rsidRPr="00A414A1">
                    <w:rPr>
                      <w:rFonts w:ascii="Arial" w:hAnsi="Arial" w:cs="Arial"/>
                      <w:b/>
                      <w:sz w:val="18"/>
                      <w:szCs w:val="18"/>
                    </w:rPr>
                    <w:t>P.08-A Quantidade de barramentos hidrelétricos (nº)</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8E0DDB" w:rsidP="00CE1021">
      <w:pPr>
        <w:pStyle w:val="Corpodetexto"/>
        <w:spacing w:line="360" w:lineRule="auto"/>
        <w:rPr>
          <w:rFonts w:ascii="Arial" w:hAnsi="Arial" w:cs="Arial"/>
          <w:b/>
          <w:noProof/>
          <w:sz w:val="20"/>
          <w:szCs w:val="20"/>
        </w:rPr>
      </w:pPr>
      <w:r>
        <w:rPr>
          <w:rFonts w:ascii="Arial" w:hAnsi="Arial" w:cs="Arial"/>
          <w:b/>
          <w:noProof/>
          <w:sz w:val="20"/>
          <w:szCs w:val="20"/>
        </w:rPr>
        <w:pict>
          <v:shape id="_x0000_s1242" type="#_x0000_t202" style="position:absolute;left:0;text-align:left;margin-left:-21.25pt;margin-top:12.65pt;width:55.9pt;height:144.85pt;z-index:251700736;mso-width-relative:margin;mso-height-relative:margin" strokecolor="#f2f2f2 [3052]">
            <v:textbox style="layout-flow:vertical;mso-layout-flow-alt:bottom-to-top;mso-next-textbox:#_x0000_s1242">
              <w:txbxContent>
                <w:p w:rsidR="00E92D98" w:rsidRPr="00A414A1" w:rsidRDefault="00E92D98" w:rsidP="00CE1021">
                  <w:pPr>
                    <w:spacing w:before="60" w:line="240" w:lineRule="atLeast"/>
                    <w:jc w:val="center"/>
                    <w:rPr>
                      <w:rFonts w:ascii="Arial" w:hAnsi="Arial" w:cs="Arial"/>
                      <w:b/>
                      <w:sz w:val="18"/>
                      <w:szCs w:val="18"/>
                    </w:rPr>
                  </w:pPr>
                  <w:r w:rsidRPr="00A414A1">
                    <w:rPr>
                      <w:rFonts w:ascii="Arial" w:hAnsi="Arial" w:cs="Arial"/>
                      <w:b/>
                      <w:sz w:val="18"/>
                      <w:szCs w:val="18"/>
                    </w:rPr>
                    <w:t>P.08-D Quantidade de barramentos</w:t>
                  </w:r>
                </w:p>
                <w:p w:rsidR="00E92D98" w:rsidRPr="00A414A1" w:rsidRDefault="00E92D98" w:rsidP="00CE1021">
                  <w:pPr>
                    <w:spacing w:before="60" w:line="240" w:lineRule="atLeast"/>
                    <w:jc w:val="center"/>
                    <w:rPr>
                      <w:b/>
                      <w:sz w:val="18"/>
                      <w:szCs w:val="18"/>
                    </w:rPr>
                  </w:pPr>
                  <w:r w:rsidRPr="00A414A1">
                    <w:rPr>
                      <w:rFonts w:ascii="Arial" w:hAnsi="Arial" w:cs="Arial"/>
                      <w:b/>
                      <w:sz w:val="18"/>
                      <w:szCs w:val="18"/>
                    </w:rPr>
                    <w:t>(nº)</w:t>
                  </w:r>
                </w:p>
              </w:txbxContent>
            </v:textbox>
          </v:shape>
        </w:pict>
      </w: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CE1021" w:rsidRDefault="00CE1021" w:rsidP="00CE1021">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A444A0">
      <w:pPr>
        <w:pStyle w:val="Corpodetexto"/>
        <w:tabs>
          <w:tab w:val="left" w:pos="4244"/>
        </w:tabs>
        <w:spacing w:line="360" w:lineRule="auto"/>
        <w:rPr>
          <w:rFonts w:ascii="Arial" w:hAnsi="Arial" w:cs="Arial"/>
          <w:b/>
          <w:noProof/>
          <w:sz w:val="20"/>
          <w:szCs w:val="20"/>
        </w:rPr>
      </w:pPr>
      <w:r>
        <w:rPr>
          <w:rFonts w:ascii="Arial" w:hAnsi="Arial" w:cs="Arial"/>
          <w:b/>
          <w:noProof/>
          <w:sz w:val="20"/>
          <w:szCs w:val="20"/>
        </w:rPr>
        <w:tab/>
      </w:r>
    </w:p>
    <w:p w:rsidR="00A444A0" w:rsidRDefault="00A444A0" w:rsidP="00A444A0">
      <w:pPr>
        <w:pStyle w:val="Corpodetexto"/>
        <w:tabs>
          <w:tab w:val="left" w:pos="4244"/>
        </w:tabs>
        <w:spacing w:line="360" w:lineRule="auto"/>
        <w:rPr>
          <w:rFonts w:ascii="Arial" w:hAnsi="Arial" w:cs="Arial"/>
          <w:b/>
          <w:noProof/>
          <w:sz w:val="20"/>
          <w:szCs w:val="20"/>
        </w:rPr>
      </w:pPr>
    </w:p>
    <w:p w:rsidR="00A444A0" w:rsidRDefault="00A444A0" w:rsidP="00A444A0">
      <w:pPr>
        <w:pStyle w:val="Corpodetexto"/>
        <w:tabs>
          <w:tab w:val="left" w:pos="4244"/>
        </w:tabs>
        <w:spacing w:line="360" w:lineRule="auto"/>
        <w:rPr>
          <w:rFonts w:ascii="Arial" w:hAnsi="Arial" w:cs="Arial"/>
          <w:b/>
          <w:noProof/>
          <w:sz w:val="20"/>
          <w:szCs w:val="20"/>
        </w:rPr>
      </w:pPr>
    </w:p>
    <w:p w:rsidR="00A444A0" w:rsidRDefault="00A444A0" w:rsidP="00A444A0">
      <w:pPr>
        <w:pStyle w:val="Corpodetexto"/>
        <w:tabs>
          <w:tab w:val="left" w:pos="4244"/>
        </w:tabs>
        <w:spacing w:line="360" w:lineRule="auto"/>
        <w:rPr>
          <w:rFonts w:ascii="Arial" w:hAnsi="Arial" w:cs="Arial"/>
          <w:b/>
          <w:noProof/>
          <w:sz w:val="20"/>
          <w:szCs w:val="20"/>
        </w:rPr>
      </w:pPr>
    </w:p>
    <w:p w:rsidR="00A444A0" w:rsidRDefault="00A444A0" w:rsidP="00A444A0">
      <w:pPr>
        <w:pStyle w:val="Corpodetexto"/>
        <w:tabs>
          <w:tab w:val="left" w:pos="4244"/>
        </w:tabs>
        <w:spacing w:line="360" w:lineRule="auto"/>
        <w:rPr>
          <w:rFonts w:ascii="Arial" w:hAnsi="Arial" w:cs="Arial"/>
          <w:b/>
          <w:noProof/>
          <w:sz w:val="20"/>
          <w:szCs w:val="20"/>
        </w:rPr>
      </w:pPr>
    </w:p>
    <w:p w:rsidR="00A444A0" w:rsidRDefault="00A444A0" w:rsidP="00A444A0">
      <w:pPr>
        <w:pStyle w:val="Corpodetexto"/>
        <w:tabs>
          <w:tab w:val="left" w:pos="4244"/>
        </w:tabs>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Pr="00A444A0" w:rsidRDefault="00A444A0" w:rsidP="00A444A0">
      <w:pPr>
        <w:pStyle w:val="Corpodetexto"/>
        <w:numPr>
          <w:ilvl w:val="0"/>
          <w:numId w:val="11"/>
        </w:numPr>
        <w:spacing w:line="360" w:lineRule="auto"/>
        <w:jc w:val="right"/>
        <w:rPr>
          <w:rFonts w:ascii="Arial" w:hAnsi="Arial" w:cs="Arial"/>
          <w:b/>
          <w:noProof/>
          <w:sz w:val="28"/>
          <w:szCs w:val="28"/>
        </w:rPr>
      </w:pPr>
      <w:r w:rsidRPr="00A444A0">
        <w:rPr>
          <w:rFonts w:ascii="Arial" w:hAnsi="Arial" w:cs="Arial"/>
          <w:b/>
          <w:noProof/>
          <w:sz w:val="28"/>
          <w:szCs w:val="28"/>
        </w:rPr>
        <w:t>Estado</w:t>
      </w: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lastRenderedPageBreak/>
        <w:pict>
          <v:shape id="_x0000_s1361" type="#_x0000_t202" style="position:absolute;left:0;text-align:left;margin-left:-21.25pt;margin-top:-3.65pt;width:530.9pt;height:20.2pt;z-index:251798016;mso-width-relative:margin;mso-height-relative:margin" fillcolor="#d8d8d8" strokecolor="white">
            <v:textbox style="mso-next-textbox:#_x0000_s1361">
              <w:txbxContent>
                <w:p w:rsidR="00E92D98" w:rsidRPr="00FE3C2F" w:rsidRDefault="00E92D98" w:rsidP="0047545A">
                  <w:pPr>
                    <w:jc w:val="center"/>
                    <w:rPr>
                      <w:rFonts w:ascii="Arial" w:hAnsi="Arial" w:cs="Arial"/>
                      <w:b/>
                      <w:bCs/>
                      <w:color w:val="E36C0A"/>
                      <w:sz w:val="20"/>
                      <w:szCs w:val="20"/>
                    </w:rPr>
                  </w:pPr>
                  <w:r w:rsidRPr="00FE3C2F">
                    <w:rPr>
                      <w:rFonts w:ascii="Arial" w:hAnsi="Arial" w:cs="Arial"/>
                      <w:b/>
                      <w:bCs/>
                      <w:color w:val="E36C0A"/>
                      <w:sz w:val="20"/>
                      <w:szCs w:val="20"/>
                    </w:rPr>
                    <w:t>ESTADO: Qualidade das Águas</w:t>
                  </w:r>
                </w:p>
                <w:p w:rsidR="00E92D98" w:rsidRPr="00826C1D" w:rsidRDefault="00E92D98" w:rsidP="0047545A">
                  <w:pPr>
                    <w:rPr>
                      <w:szCs w:val="18"/>
                    </w:rPr>
                  </w:pPr>
                </w:p>
              </w:txbxContent>
            </v:textbox>
          </v:shape>
        </w:pic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60" type="#_x0000_t202" style="position:absolute;left:0;text-align:left;margin-left:-21.25pt;margin-top:5.75pt;width:55.9pt;height:27.85pt;z-index:251796992;mso-width-relative:margin;mso-height-relative:margin" fillcolor="#d8d8d8" strokecolor="white">
            <v:textbox style="mso-next-textbox:#_x0000_s1360">
              <w:txbxContent>
                <w:p w:rsidR="00E92D98" w:rsidRPr="00FE3C2F" w:rsidRDefault="00E92D98" w:rsidP="0047545A">
                  <w:pPr>
                    <w:spacing w:before="40"/>
                    <w:rPr>
                      <w:color w:val="E36C0A"/>
                      <w:sz w:val="16"/>
                      <w:szCs w:val="16"/>
                    </w:rPr>
                  </w:pPr>
                  <w:r w:rsidRPr="00FE3C2F">
                    <w:rPr>
                      <w:rFonts w:ascii="Arial" w:hAnsi="Arial" w:cs="Arial"/>
                      <w:b/>
                      <w:bCs/>
                      <w:color w:val="E36C0A"/>
                      <w:sz w:val="16"/>
                      <w:szCs w:val="16"/>
                    </w:rPr>
                    <w:t>Grandeza/ Parâmetro</w:t>
                  </w:r>
                </w:p>
              </w:txbxContent>
            </v:textbox>
          </v:shape>
        </w:pict>
      </w:r>
      <w:r>
        <w:rPr>
          <w:rFonts w:ascii="Arial" w:hAnsi="Arial" w:cs="Arial"/>
          <w:b/>
          <w:noProof/>
          <w:sz w:val="20"/>
          <w:szCs w:val="20"/>
        </w:rPr>
        <w:pict>
          <v:shape id="_x0000_s1362" type="#_x0000_t202" style="position:absolute;left:0;text-align:left;margin-left:46.65pt;margin-top:5.75pt;width:463pt;height:27.85pt;z-index:251799040;mso-width-relative:margin;mso-height-relative:margin" fillcolor="#d8d8d8" strokecolor="white">
            <v:textbox style="mso-next-textbox:#_x0000_s1362">
              <w:txbxContent>
                <w:p w:rsidR="00E92D98" w:rsidRPr="00FE3C2F" w:rsidRDefault="00E92D98" w:rsidP="0047545A">
                  <w:pPr>
                    <w:spacing w:before="60"/>
                    <w:rPr>
                      <w:color w:val="E36C0A"/>
                      <w:sz w:val="16"/>
                      <w:szCs w:val="16"/>
                    </w:rPr>
                  </w:pPr>
                  <w:r w:rsidRPr="00FE3C2F">
                    <w:rPr>
                      <w:rFonts w:ascii="Arial" w:hAnsi="Arial" w:cs="Arial"/>
                      <w:b/>
                      <w:bCs/>
                      <w:color w:val="E36C0A"/>
                      <w:sz w:val="18"/>
                      <w:szCs w:val="18"/>
                    </w:rPr>
                    <w:t xml:space="preserve">                           </w:t>
                  </w:r>
                  <w:r w:rsidRPr="00FE3C2F">
                    <w:rPr>
                      <w:rFonts w:ascii="Arial" w:hAnsi="Arial" w:cs="Arial"/>
                      <w:b/>
                      <w:bCs/>
                      <w:color w:val="E36C0A"/>
                      <w:sz w:val="16"/>
                      <w:szCs w:val="16"/>
                    </w:rPr>
                    <w:t xml:space="preserve">Apresentação dos dados </w:t>
                  </w:r>
                  <w:r w:rsidRPr="00FE3C2F">
                    <w:rPr>
                      <w:rFonts w:ascii="Arial" w:hAnsi="Arial" w:cs="Arial"/>
                      <w:b/>
                      <w:bCs/>
                      <w:color w:val="E36C0A"/>
                      <w:sz w:val="16"/>
                      <w:szCs w:val="16"/>
                    </w:rPr>
                    <w:tab/>
                  </w:r>
                  <w:r w:rsidRPr="00FE3C2F">
                    <w:rPr>
                      <w:rFonts w:ascii="Arial" w:hAnsi="Arial" w:cs="Arial"/>
                      <w:b/>
                      <w:bCs/>
                      <w:color w:val="E36C0A"/>
                      <w:sz w:val="16"/>
                      <w:szCs w:val="16"/>
                    </w:rPr>
                    <w:tab/>
                  </w:r>
                  <w:r w:rsidRPr="00FE3C2F">
                    <w:rPr>
                      <w:rFonts w:ascii="Arial" w:hAnsi="Arial" w:cs="Arial"/>
                      <w:b/>
                      <w:bCs/>
                      <w:color w:val="E36C0A"/>
                      <w:sz w:val="16"/>
                      <w:szCs w:val="16"/>
                    </w:rPr>
                    <w:tab/>
                  </w:r>
                  <w:r w:rsidRPr="00FE3C2F">
                    <w:rPr>
                      <w:rFonts w:ascii="Arial" w:hAnsi="Arial" w:cs="Arial"/>
                      <w:b/>
                      <w:bCs/>
                      <w:color w:val="E36C0A"/>
                      <w:sz w:val="16"/>
                      <w:szCs w:val="16"/>
                    </w:rPr>
                    <w:tab/>
                  </w:r>
                  <w:r w:rsidRPr="00FE3C2F">
                    <w:rPr>
                      <w:rFonts w:ascii="Arial" w:hAnsi="Arial" w:cs="Arial"/>
                      <w:b/>
                      <w:bCs/>
                      <w:color w:val="E36C0A"/>
                      <w:sz w:val="16"/>
                      <w:szCs w:val="16"/>
                    </w:rPr>
                    <w:tab/>
                  </w:r>
                  <w:r w:rsidRPr="00FE3C2F">
                    <w:rPr>
                      <w:rFonts w:ascii="Arial" w:hAnsi="Arial" w:cs="Arial"/>
                      <w:b/>
                      <w:bCs/>
                      <w:color w:val="E36C0A"/>
                      <w:sz w:val="16"/>
                      <w:szCs w:val="16"/>
                    </w:rPr>
                    <w:tab/>
                    <w:t>Comentário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sidRPr="008E0DDB">
        <w:rPr>
          <w:rFonts w:ascii="Arial" w:hAnsi="Arial" w:cs="Arial"/>
          <w:b/>
          <w:bCs/>
          <w:noProof/>
          <w:color w:val="943634"/>
          <w:sz w:val="20"/>
          <w:szCs w:val="20"/>
          <w:lang w:eastAsia="en-US"/>
        </w:rPr>
        <w:pict>
          <v:shape id="_x0000_s1291" type="#_x0000_t202" style="position:absolute;left:0;text-align:left;margin-left:-21.25pt;margin-top:7.85pt;width:55.9pt;height:426.55pt;z-index:251726336;mso-width-relative:margin;mso-height-relative:margin" fillcolor="#ff6" strokecolor="#f2f2f2">
            <v:textbox style="layout-flow:vertical;mso-layout-flow-alt:bottom-to-top;mso-next-textbox:#_x0000_s1291">
              <w:txbxContent>
                <w:p w:rsidR="00E92D98" w:rsidRPr="0085059C" w:rsidRDefault="00E92D98" w:rsidP="0047545A">
                  <w:pPr>
                    <w:spacing w:before="120"/>
                    <w:jc w:val="center"/>
                    <w:rPr>
                      <w:rFonts w:ascii="Arial" w:hAnsi="Arial" w:cs="Arial"/>
                      <w:sz w:val="18"/>
                      <w:szCs w:val="18"/>
                    </w:rPr>
                  </w:pPr>
                  <w:r w:rsidRPr="0085059C">
                    <w:rPr>
                      <w:rFonts w:ascii="Arial" w:hAnsi="Arial" w:cs="Arial"/>
                      <w:b/>
                      <w:sz w:val="18"/>
                      <w:szCs w:val="18"/>
                    </w:rPr>
                    <w:t>E.01-A. IQA</w:t>
                  </w:r>
                </w:p>
              </w:txbxContent>
            </v:textbox>
          </v:shape>
        </w:pict>
      </w:r>
      <w:r>
        <w:rPr>
          <w:rFonts w:ascii="Arial" w:hAnsi="Arial" w:cs="Arial"/>
          <w:b/>
          <w:noProof/>
          <w:sz w:val="20"/>
          <w:szCs w:val="20"/>
        </w:rPr>
        <w:pict>
          <v:shape id="_x0000_s1292" type="#_x0000_t202" style="position:absolute;left:0;text-align:left;margin-left:310.8pt;margin-top:6.55pt;width:198.85pt;height:427.85pt;z-index:251727360;mso-width-relative:margin;mso-height-relative:margin" fillcolor="#fbd4b4" strokecolor="#f2f2f2">
            <v:textbox style="mso-next-textbox:#_x0000_s1292">
              <w:txbxContent>
                <w:p w:rsidR="00E92D98" w:rsidRPr="008F75E4" w:rsidRDefault="00E92D98" w:rsidP="0047545A">
                  <w:pPr>
                    <w:spacing w:line="240" w:lineRule="atLeast"/>
                    <w:jc w:val="center"/>
                    <w:rPr>
                      <w:rFonts w:ascii="Arial" w:hAnsi="Arial" w:cs="Arial"/>
                      <w:sz w:val="16"/>
                      <w:szCs w:val="16"/>
                    </w:rPr>
                  </w:pPr>
                  <w:r w:rsidRPr="008F75E4">
                    <w:rPr>
                      <w:rFonts w:ascii="Arial" w:hAnsi="Arial" w:cs="Arial"/>
                      <w:sz w:val="16"/>
                      <w:szCs w:val="16"/>
                    </w:rPr>
                    <w:t>O IQA é definido como o Índice de qualidade de água doce para fins de abastecimento público, refletindo a contaminação do recurso hídrico pelo lançamento de esgoto doméstico. Ressalta-se que Batatais e São Joaquim da Barra (municípios com maior carga orgânica doméstica) lançam seus efluentes em mananciais afluentes direto do Rio Sapucaí Mirim, entretanto observa-se que todos</w:t>
                  </w:r>
                  <w:r>
                    <w:rPr>
                      <w:rFonts w:ascii="Arial" w:hAnsi="Arial" w:cs="Arial"/>
                      <w:sz w:val="16"/>
                      <w:szCs w:val="16"/>
                    </w:rPr>
                    <w:t xml:space="preserve"> os pontos de monitoramento do R</w:t>
                  </w:r>
                  <w:r w:rsidRPr="008F75E4">
                    <w:rPr>
                      <w:rFonts w:ascii="Arial" w:hAnsi="Arial" w:cs="Arial"/>
                      <w:sz w:val="16"/>
                      <w:szCs w:val="16"/>
                    </w:rPr>
                    <w:t>io Sapucaí Mirim foram qualificados como "BOM".  O Rib. dos Bagres passa por Franca apresentando sua classificação da seguinte forma: O ponto BAGR 4020, localizado a 500 m da nascente do manancial é classificado como "BOM". A jusante, o ponto BAGR 4500, dentro da área urbana de Franca, próximo ao posto Galo Branco, classifica-se como "REGULAR", influenciado pelas obras de canalização do Rib</w:t>
                  </w:r>
                  <w:r>
                    <w:rPr>
                      <w:rFonts w:ascii="Arial" w:hAnsi="Arial" w:cs="Arial"/>
                      <w:sz w:val="16"/>
                      <w:szCs w:val="16"/>
                    </w:rPr>
                    <w:t>.</w:t>
                  </w:r>
                  <w:r w:rsidRPr="008F75E4">
                    <w:rPr>
                      <w:rFonts w:ascii="Arial" w:hAnsi="Arial" w:cs="Arial"/>
                      <w:sz w:val="16"/>
                      <w:szCs w:val="16"/>
                    </w:rPr>
                    <w:t xml:space="preserve"> dos Bagres no local. Na seqüência o ponto BAGR 4600, na ponte da rodovia vicinal 384 que liga Restin</w:t>
                  </w:r>
                  <w:r>
                    <w:rPr>
                      <w:rFonts w:ascii="Arial" w:hAnsi="Arial" w:cs="Arial"/>
                      <w:sz w:val="16"/>
                      <w:szCs w:val="16"/>
                    </w:rPr>
                    <w:t>g</w:t>
                  </w:r>
                  <w:r w:rsidRPr="008F75E4">
                    <w:rPr>
                      <w:rFonts w:ascii="Arial" w:hAnsi="Arial" w:cs="Arial"/>
                      <w:sz w:val="16"/>
                      <w:szCs w:val="16"/>
                    </w:rPr>
                    <w:t>a a SP 344, fora da área urbana, classifica-se como "REGULAR", influenciado pelo lançamento de efluentes do Distrito Industrial de Franca. O ponto BAGR 4950, a dois Km da foz do Rib. dos Bagres, classifica-se como "BOM".  O Rio do Carmo possui um ponto de monitoramente qualificado em 2009 como "REGULAR", passando em 2010 para a classificação "BOA", devido ao início da operação da ETE de Ituve</w:t>
                  </w:r>
                  <w:r>
                    <w:rPr>
                      <w:rFonts w:ascii="Arial" w:hAnsi="Arial" w:cs="Arial"/>
                      <w:sz w:val="16"/>
                      <w:szCs w:val="16"/>
                    </w:rPr>
                    <w:t>rava, sendo que para 2011 este í</w:t>
                  </w:r>
                  <w:r w:rsidRPr="008F75E4">
                    <w:rPr>
                      <w:rFonts w:ascii="Arial" w:hAnsi="Arial" w:cs="Arial"/>
                      <w:sz w:val="16"/>
                      <w:szCs w:val="16"/>
                    </w:rPr>
                    <w:t xml:space="preserve">ndice será melhor com o tratamento de 100% dos efluentes. No Rio Grande manteve-se com o IQA "OTIMO", localizado na represa do </w:t>
                  </w:r>
                  <w:r>
                    <w:rPr>
                      <w:rFonts w:ascii="Arial" w:hAnsi="Arial" w:cs="Arial"/>
                      <w:sz w:val="16"/>
                      <w:szCs w:val="16"/>
                    </w:rPr>
                    <w:t>R</w:t>
                  </w:r>
                  <w:r w:rsidRPr="008F75E4">
                    <w:rPr>
                      <w:rFonts w:ascii="Arial" w:hAnsi="Arial" w:cs="Arial"/>
                      <w:sz w:val="16"/>
                      <w:szCs w:val="16"/>
                    </w:rPr>
                    <w:t>io Grande. A gestão faz-se pela implantação da ETE de São Joaquim da Barra e avaliação da eficiência do tratamento das ETE's existentes.</w:t>
                  </w:r>
                </w:p>
              </w:txbxContent>
            </v:textbox>
          </v:shape>
        </w:pict>
      </w:r>
      <w:r>
        <w:rPr>
          <w:rFonts w:ascii="Arial" w:hAnsi="Arial" w:cs="Arial"/>
          <w:b/>
          <w:noProof/>
          <w:sz w:val="20"/>
          <w:szCs w:val="20"/>
        </w:rPr>
        <w:pict>
          <v:shape id="_x0000_s1295" type="#_x0000_t202" style="position:absolute;left:0;text-align:left;margin-left:54.5pt;margin-top:7.85pt;width:221.8pt;height:179.9pt;z-index:251730432;mso-wrap-style:none;mso-width-relative:margin;mso-height-relative:margin" strokecolor="white">
            <v:textbox style="mso-next-textbox:#_x0000_s1295;mso-fit-shape-to-text:t">
              <w:txbxContent>
                <w:p w:rsidR="00E92D98" w:rsidRPr="00252C84" w:rsidRDefault="00E92D98" w:rsidP="0047545A">
                  <w:r>
                    <w:rPr>
                      <w:noProof/>
                    </w:rPr>
                    <w:drawing>
                      <wp:inline distT="0" distB="0" distL="0" distR="0">
                        <wp:extent cx="3001216" cy="2466753"/>
                        <wp:effectExtent l="19050" t="0" r="8684" b="0"/>
                        <wp:docPr id="4348941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41"/>
                                <a:srcRect/>
                                <a:stretch>
                                  <a:fillRect/>
                                </a:stretch>
                              </pic:blipFill>
                              <pic:spPr bwMode="auto">
                                <a:xfrm>
                                  <a:off x="0" y="0"/>
                                  <a:ext cx="3001723" cy="2467170"/>
                                </a:xfrm>
                                <a:prstGeom prst="rect">
                                  <a:avLst/>
                                </a:prstGeom>
                                <a:noFill/>
                                <a:ln w="9525">
                                  <a:noFill/>
                                  <a:miter lim="800000"/>
                                  <a:headEnd/>
                                  <a:tailEnd/>
                                </a:ln>
                              </pic:spPr>
                            </pic:pic>
                          </a:graphicData>
                        </a:graphic>
                      </wp:inline>
                    </w:drawing>
                  </w:r>
                </w:p>
              </w:txbxContent>
            </v:textbox>
          </v:shape>
        </w:pict>
      </w:r>
    </w:p>
    <w:p w:rsidR="0047545A" w:rsidRPr="00190436" w:rsidRDefault="0047545A" w:rsidP="0047545A">
      <w:pPr>
        <w:jc w:val="both"/>
        <w:rPr>
          <w:rFonts w:ascii="Arial" w:hAnsi="Arial" w:cs="Arial"/>
          <w:b/>
          <w:bCs/>
          <w:color w:val="943634"/>
          <w:sz w:val="20"/>
          <w:szCs w:val="20"/>
        </w:rPr>
      </w:pP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63" type="#_x0000_t202" style="position:absolute;left:0;text-align:left;margin-left:54.35pt;margin-top:7.65pt;width:245.2pt;height:225.5pt;z-index:251800064;mso-width-relative:margin;mso-height-relative:margin" strokecolor="white">
            <v:textbox style="mso-next-textbox:#_x0000_s1363">
              <w:txbxContent>
                <w:p w:rsidR="00E92D98" w:rsidRPr="00252C84" w:rsidRDefault="00E92D98" w:rsidP="0047545A">
                  <w:r>
                    <w:rPr>
                      <w:noProof/>
                    </w:rPr>
                    <w:drawing>
                      <wp:inline distT="0" distB="0" distL="0" distR="0">
                        <wp:extent cx="2915536" cy="2488018"/>
                        <wp:effectExtent l="19050" t="0" r="0" b="0"/>
                        <wp:docPr id="4348941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702618" w:rsidRDefault="00702618"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294" type="#_x0000_t202" style="position:absolute;left:0;text-align:left;margin-left:310.8pt;margin-top:6.65pt;width:198.85pt;height:191.55pt;z-index:251729408;mso-width-relative:margin;mso-height-relative:margin" fillcolor="#fbd4b4" strokecolor="#f2f2f2">
            <v:textbox style="mso-next-textbox:#_x0000_s1294">
              <w:txbxContent>
                <w:p w:rsidR="00E92D98" w:rsidRPr="008F44AB" w:rsidRDefault="00E92D98" w:rsidP="0047545A">
                  <w:pPr>
                    <w:spacing w:line="240" w:lineRule="atLeast"/>
                    <w:jc w:val="center"/>
                    <w:rPr>
                      <w:rFonts w:ascii="Arial" w:hAnsi="Arial" w:cs="Arial"/>
                      <w:sz w:val="16"/>
                      <w:szCs w:val="16"/>
                    </w:rPr>
                  </w:pPr>
                  <w:r w:rsidRPr="008F44AB">
                    <w:rPr>
                      <w:rFonts w:ascii="Arial" w:hAnsi="Arial" w:cs="Arial"/>
                      <w:sz w:val="16"/>
                      <w:szCs w:val="16"/>
                    </w:rPr>
                    <w:t>O IAP, que</w:t>
                  </w:r>
                </w:p>
                <w:p w:rsidR="00E92D98" w:rsidRPr="009608D4" w:rsidRDefault="00E92D98" w:rsidP="0047545A">
                  <w:pPr>
                    <w:spacing w:line="240" w:lineRule="atLeast"/>
                    <w:jc w:val="center"/>
                    <w:rPr>
                      <w:rFonts w:ascii="Arial" w:hAnsi="Arial" w:cs="Arial"/>
                      <w:b/>
                      <w:sz w:val="16"/>
                      <w:szCs w:val="16"/>
                    </w:rPr>
                  </w:pPr>
                  <w:r w:rsidRPr="008F44AB">
                    <w:rPr>
                      <w:rFonts w:ascii="Arial" w:hAnsi="Arial" w:cs="Arial"/>
                      <w:sz w:val="16"/>
                      <w:szCs w:val="16"/>
                    </w:rPr>
                    <w:t xml:space="preserve">reflete principalmente a contaminação dos corpos hídricos oriunda da urbanização e industrialização, a partir de 2008 foi calculado somente nos pontos de monitoramento que coincidem com os pontos de captação para abastecimento público, todavia a bacia não possui ponto de monitoramento da CETESB. </w:t>
                  </w:r>
                  <w:r w:rsidRPr="009608D4">
                    <w:rPr>
                      <w:rFonts w:ascii="Arial" w:hAnsi="Arial" w:cs="Arial"/>
                      <w:b/>
                      <w:sz w:val="16"/>
                      <w:szCs w:val="16"/>
                    </w:rPr>
                    <w:t>Para a gestão: implantação de pontos de monitoramento, principalmente em São Joaquim da Barra, que apresentou a maior taxa de urbanização, e Franca, como pólo industrial da bacia.</w:t>
                  </w:r>
                </w:p>
              </w:txbxContent>
            </v:textbox>
          </v:shape>
        </w:pict>
      </w:r>
      <w:r>
        <w:rPr>
          <w:rFonts w:ascii="Arial" w:hAnsi="Arial" w:cs="Arial"/>
          <w:b/>
          <w:noProof/>
          <w:sz w:val="20"/>
          <w:szCs w:val="20"/>
        </w:rPr>
        <w:pict>
          <v:shape id="_x0000_s1293" type="#_x0000_t202" style="position:absolute;left:0;text-align:left;margin-left:-21.25pt;margin-top:6.65pt;width:55.9pt;height:199.65pt;z-index:251728384;mso-width-relative:margin;mso-height-relative:margin" fillcolor="#ff6" strokecolor="#f2f2f2">
            <v:textbox style="layout-flow:vertical;mso-layout-flow-alt:bottom-to-top;mso-next-textbox:#_x0000_s1293">
              <w:txbxContent>
                <w:p w:rsidR="00E92D98" w:rsidRPr="0085059C" w:rsidRDefault="00E92D98" w:rsidP="0047545A">
                  <w:pPr>
                    <w:spacing w:before="120"/>
                    <w:jc w:val="center"/>
                    <w:rPr>
                      <w:rFonts w:ascii="Arial" w:hAnsi="Arial" w:cs="Arial"/>
                      <w:b/>
                      <w:sz w:val="18"/>
                      <w:szCs w:val="18"/>
                    </w:rPr>
                  </w:pPr>
                  <w:r w:rsidRPr="0085059C">
                    <w:rPr>
                      <w:rFonts w:ascii="Arial" w:hAnsi="Arial" w:cs="Arial"/>
                      <w:b/>
                      <w:sz w:val="18"/>
                      <w:szCs w:val="18"/>
                    </w:rPr>
                    <w:t>E.01-B. IAP</w:t>
                  </w:r>
                </w:p>
              </w:txbxContent>
            </v:textbox>
          </v:shape>
        </w:pict>
      </w:r>
      <w:r>
        <w:rPr>
          <w:rFonts w:ascii="Arial" w:hAnsi="Arial" w:cs="Arial"/>
          <w:b/>
          <w:noProof/>
          <w:sz w:val="20"/>
          <w:szCs w:val="20"/>
        </w:rPr>
        <w:pict>
          <v:shape id="_x0000_s1364" type="#_x0000_t202" style="position:absolute;left:0;text-align:left;margin-left:54.5pt;margin-top:6.65pt;width:221.9pt;height:213.45pt;z-index:251801088;mso-wrap-style:none;mso-width-relative:margin;mso-height-relative:margin" strokecolor="white">
            <v:textbox style="mso-next-textbox:#_x0000_s1364;mso-fit-shape-to-text:t">
              <w:txbxContent>
                <w:p w:rsidR="00E92D98" w:rsidRPr="008F44AB" w:rsidRDefault="00E92D98" w:rsidP="0047545A">
                  <w:r>
                    <w:rPr>
                      <w:noProof/>
                    </w:rPr>
                    <w:drawing>
                      <wp:inline distT="0" distB="0" distL="0" distR="0">
                        <wp:extent cx="2624455" cy="2434590"/>
                        <wp:effectExtent l="19050" t="0" r="4445" b="0"/>
                        <wp:docPr id="43489413" name="Imagem 7" descr="iap_regiao_8_rec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ap_regiao_8_recortada"/>
                                <pic:cNvPicPr>
                                  <a:picLocks noChangeAspect="1" noChangeArrowheads="1"/>
                                </pic:cNvPicPr>
                              </pic:nvPicPr>
                              <pic:blipFill>
                                <a:blip r:embed="rId43"/>
                                <a:srcRect/>
                                <a:stretch>
                                  <a:fillRect/>
                                </a:stretch>
                              </pic:blipFill>
                              <pic:spPr bwMode="auto">
                                <a:xfrm>
                                  <a:off x="0" y="0"/>
                                  <a:ext cx="2624455" cy="2434590"/>
                                </a:xfrm>
                                <a:prstGeom prst="rect">
                                  <a:avLst/>
                                </a:prstGeom>
                                <a:noFill/>
                                <a:ln w="9525">
                                  <a:noFill/>
                                  <a:miter lim="800000"/>
                                  <a:headEnd/>
                                  <a:tailEnd/>
                                </a:ln>
                              </pic:spPr>
                            </pic:pic>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702618" w:rsidRDefault="00702618"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lastRenderedPageBreak/>
        <w:pict>
          <v:shape id="_x0000_s1366" type="#_x0000_t202" style="position:absolute;left:0;text-align:left;margin-left:-21.25pt;margin-top:1.4pt;width:530.9pt;height:20.2pt;z-index:251803136;mso-width-relative:margin;mso-height-relative:margin" fillcolor="#d8d8d8" strokecolor="white">
            <v:textbox style="mso-next-textbox:#_x0000_s1366">
              <w:txbxContent>
                <w:p w:rsidR="00E92D98" w:rsidRPr="0050347A" w:rsidRDefault="00E92D98" w:rsidP="0047545A">
                  <w:pPr>
                    <w:jc w:val="center"/>
                    <w:rPr>
                      <w:rFonts w:ascii="Arial" w:hAnsi="Arial" w:cs="Arial"/>
                      <w:b/>
                      <w:bCs/>
                      <w:color w:val="E36C0A"/>
                      <w:sz w:val="20"/>
                      <w:szCs w:val="20"/>
                    </w:rPr>
                  </w:pPr>
                  <w:r w:rsidRPr="0050347A">
                    <w:rPr>
                      <w:rFonts w:ascii="Arial" w:hAnsi="Arial" w:cs="Arial"/>
                      <w:b/>
                      <w:bCs/>
                      <w:color w:val="E36C0A"/>
                      <w:sz w:val="20"/>
                      <w:szCs w:val="20"/>
                    </w:rPr>
                    <w:t>ESTADO: Qualidade das Águas</w:t>
                  </w:r>
                </w:p>
                <w:p w:rsidR="00E92D98" w:rsidRPr="00826C1D" w:rsidRDefault="00E92D98" w:rsidP="0047545A">
                  <w:pPr>
                    <w:rPr>
                      <w:szCs w:val="18"/>
                    </w:rPr>
                  </w:pPr>
                </w:p>
              </w:txbxContent>
            </v:textbox>
          </v:shape>
        </w:pic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65" type="#_x0000_t202" style="position:absolute;left:0;text-align:left;margin-left:-21.25pt;margin-top:10.8pt;width:55.9pt;height:27.85pt;z-index:251802112;mso-width-relative:margin;mso-height-relative:margin" fillcolor="#d8d8d8" strokecolor="white">
            <v:textbox style="mso-next-textbox:#_x0000_s1365">
              <w:txbxContent>
                <w:p w:rsidR="00E92D98" w:rsidRPr="0050347A" w:rsidRDefault="00E92D98" w:rsidP="0047545A">
                  <w:pPr>
                    <w:spacing w:before="40"/>
                    <w:rPr>
                      <w:color w:val="E36C0A"/>
                      <w:sz w:val="16"/>
                      <w:szCs w:val="16"/>
                    </w:rPr>
                  </w:pPr>
                  <w:r w:rsidRPr="0050347A">
                    <w:rPr>
                      <w:rFonts w:ascii="Arial" w:hAnsi="Arial" w:cs="Arial"/>
                      <w:b/>
                      <w:bCs/>
                      <w:color w:val="E36C0A"/>
                      <w:sz w:val="16"/>
                      <w:szCs w:val="16"/>
                    </w:rPr>
                    <w:t>Grandeza/ Parâmetro</w:t>
                  </w:r>
                </w:p>
              </w:txbxContent>
            </v:textbox>
          </v:shape>
        </w:pict>
      </w:r>
      <w:r>
        <w:rPr>
          <w:rFonts w:ascii="Arial" w:hAnsi="Arial" w:cs="Arial"/>
          <w:b/>
          <w:noProof/>
          <w:sz w:val="20"/>
          <w:szCs w:val="20"/>
        </w:rPr>
        <w:pict>
          <v:shape id="_x0000_s1367" type="#_x0000_t202" style="position:absolute;left:0;text-align:left;margin-left:46.65pt;margin-top:10.8pt;width:463pt;height:27.85pt;z-index:251804160;mso-width-relative:margin;mso-height-relative:margin" fillcolor="#d8d8d8" strokecolor="white">
            <v:textbox style="mso-next-textbox:#_x0000_s1367">
              <w:txbxContent>
                <w:p w:rsidR="00E92D98" w:rsidRPr="0050347A" w:rsidRDefault="00E92D98" w:rsidP="0047545A">
                  <w:pPr>
                    <w:spacing w:before="60"/>
                    <w:rPr>
                      <w:color w:val="E36C0A"/>
                      <w:sz w:val="16"/>
                      <w:szCs w:val="16"/>
                    </w:rPr>
                  </w:pPr>
                  <w:r w:rsidRPr="0050347A">
                    <w:rPr>
                      <w:rFonts w:ascii="Arial" w:hAnsi="Arial" w:cs="Arial"/>
                      <w:b/>
                      <w:bCs/>
                      <w:color w:val="E36C0A"/>
                      <w:sz w:val="18"/>
                      <w:szCs w:val="18"/>
                    </w:rPr>
                    <w:t xml:space="preserve">                           </w:t>
                  </w:r>
                  <w:r w:rsidRPr="0050347A">
                    <w:rPr>
                      <w:rFonts w:ascii="Arial" w:hAnsi="Arial" w:cs="Arial"/>
                      <w:b/>
                      <w:bCs/>
                      <w:color w:val="E36C0A"/>
                      <w:sz w:val="16"/>
                      <w:szCs w:val="16"/>
                    </w:rPr>
                    <w:t xml:space="preserve">Apresentação dos dados </w:t>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t>Comentário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02" type="#_x0000_t202" style="position:absolute;left:0;text-align:left;margin-left:46.65pt;margin-top:11.6pt;width:240.2pt;height:199.55pt;z-index:251737600;mso-wrap-style:none;mso-width-relative:margin;mso-height-relative:margin" strokecolor="white">
            <v:textbox style="mso-next-textbox:#_x0000_s1302">
              <w:txbxContent>
                <w:p w:rsidR="00E92D98" w:rsidRPr="00252C84" w:rsidRDefault="00E92D98" w:rsidP="0047545A">
                  <w:r>
                    <w:rPr>
                      <w:noProof/>
                    </w:rPr>
                    <w:drawing>
                      <wp:inline distT="0" distB="0" distL="0" distR="0">
                        <wp:extent cx="2831028" cy="2458192"/>
                        <wp:effectExtent l="19050" t="0" r="7422" b="0"/>
                        <wp:docPr id="4348941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44"/>
                                <a:srcRect/>
                                <a:stretch>
                                  <a:fillRect/>
                                </a:stretch>
                              </pic:blipFill>
                              <pic:spPr bwMode="auto">
                                <a:xfrm>
                                  <a:off x="0" y="0"/>
                                  <a:ext cx="2830692" cy="2457900"/>
                                </a:xfrm>
                                <a:prstGeom prst="rect">
                                  <a:avLst/>
                                </a:prstGeom>
                                <a:noFill/>
                                <a:ln w="9525">
                                  <a:noFill/>
                                  <a:miter lim="800000"/>
                                  <a:headEnd/>
                                  <a:tailEnd/>
                                </a:ln>
                              </pic:spPr>
                            </pic:pic>
                          </a:graphicData>
                        </a:graphic>
                      </wp:inline>
                    </w:drawing>
                  </w:r>
                </w:p>
              </w:txbxContent>
            </v:textbox>
          </v:shape>
        </w:pict>
      </w:r>
      <w:r>
        <w:rPr>
          <w:rFonts w:ascii="Arial" w:hAnsi="Arial" w:cs="Arial"/>
          <w:b/>
          <w:noProof/>
          <w:sz w:val="20"/>
          <w:szCs w:val="20"/>
        </w:rPr>
        <w:pict>
          <v:shape id="_x0000_s1297" type="#_x0000_t202" style="position:absolute;left:0;text-align:left;margin-left:310.8pt;margin-top:11.6pt;width:198.85pt;height:316.05pt;z-index:251732480;mso-width-relative:margin;mso-height-relative:margin" fillcolor="#fbd4b4" strokecolor="#f2f2f2">
            <v:textbox style="mso-next-textbox:#_x0000_s1297">
              <w:txbxContent>
                <w:p w:rsidR="00E92D98" w:rsidRDefault="00E92D98" w:rsidP="0047545A">
                  <w:pPr>
                    <w:spacing w:line="240" w:lineRule="atLeast"/>
                    <w:jc w:val="center"/>
                    <w:rPr>
                      <w:rFonts w:ascii="Arial" w:hAnsi="Arial" w:cs="Arial"/>
                      <w:sz w:val="16"/>
                      <w:szCs w:val="16"/>
                    </w:rPr>
                  </w:pPr>
                </w:p>
                <w:p w:rsidR="00E92D98" w:rsidRDefault="00E92D98" w:rsidP="0047545A">
                  <w:pPr>
                    <w:spacing w:line="240" w:lineRule="atLeast"/>
                    <w:jc w:val="center"/>
                    <w:rPr>
                      <w:rFonts w:ascii="Arial" w:hAnsi="Arial" w:cs="Arial"/>
                      <w:sz w:val="16"/>
                      <w:szCs w:val="16"/>
                    </w:rPr>
                  </w:pPr>
                </w:p>
                <w:p w:rsidR="00E92D98" w:rsidRPr="00702618" w:rsidRDefault="00E92D98" w:rsidP="0047545A">
                  <w:pPr>
                    <w:spacing w:line="240" w:lineRule="atLeast"/>
                    <w:jc w:val="center"/>
                    <w:rPr>
                      <w:rFonts w:ascii="Arial" w:hAnsi="Arial" w:cs="Arial"/>
                      <w:b/>
                      <w:sz w:val="16"/>
                      <w:szCs w:val="16"/>
                    </w:rPr>
                  </w:pPr>
                  <w:r w:rsidRPr="00797F1B">
                    <w:rPr>
                      <w:rFonts w:ascii="Arial" w:hAnsi="Arial" w:cs="Arial"/>
                      <w:sz w:val="16"/>
                      <w:szCs w:val="16"/>
                    </w:rPr>
                    <w:t>O IVA leva em consideração a presença e a concentração de contaminantes químicos tóxicos. A UGRHI - 08, apresenta uma melhora progressiva nos 3 pontos de monitoramento. No Rio Grande, GRDE0300, com qualidade "BOA", no Sapucaí Mirim - SAPU02300, que passou de "REGULAR" para "OTIMO", mesmo com o lançamento dos efluentes do Distrito Industrial de Franca, que acreditamos ser devido ao aumento da vazão e autodepuração do manancial. No ponto SAPU02800 tamb</w:t>
                  </w:r>
                  <w:r>
                    <w:rPr>
                      <w:rFonts w:ascii="Arial" w:hAnsi="Arial" w:cs="Arial"/>
                      <w:sz w:val="16"/>
                      <w:szCs w:val="16"/>
                    </w:rPr>
                    <w:t>é</w:t>
                  </w:r>
                  <w:r w:rsidRPr="00797F1B">
                    <w:rPr>
                      <w:rFonts w:ascii="Arial" w:hAnsi="Arial" w:cs="Arial"/>
                      <w:sz w:val="16"/>
                      <w:szCs w:val="16"/>
                    </w:rPr>
                    <w:t xml:space="preserve">m melhorou a qualidade, de "RUIM" para "REGULAR" (CETESB, 2010), acreditamos ter influencia a implantação e funcionamento da PCH Anhanguera e possível redução dos insumos agrícolas utilizados nas áreas do município de Guaíra. </w:t>
                  </w:r>
                  <w:r w:rsidRPr="00702618">
                    <w:rPr>
                      <w:rFonts w:ascii="Arial" w:hAnsi="Arial" w:cs="Arial"/>
                      <w:b/>
                      <w:sz w:val="16"/>
                      <w:szCs w:val="16"/>
                    </w:rPr>
                    <w:t>Para a gestão sugerimos o incentivo à cobertura de mata ciliares, bem como desenvolvimento/aprimoramento de programas de aplicação de produtos tóxicos e descarte das embalagens dos mesmos.</w:t>
                  </w:r>
                </w:p>
              </w:txbxContent>
            </v:textbox>
          </v:shape>
        </w:pict>
      </w:r>
      <w:r w:rsidRPr="008E0DDB">
        <w:rPr>
          <w:rFonts w:ascii="Arial" w:hAnsi="Arial" w:cs="Arial"/>
          <w:b/>
          <w:bCs/>
          <w:noProof/>
          <w:color w:val="943634"/>
          <w:sz w:val="20"/>
          <w:szCs w:val="20"/>
          <w:lang w:eastAsia="en-US"/>
        </w:rPr>
        <w:pict>
          <v:shape id="_x0000_s1296" type="#_x0000_t202" style="position:absolute;left:0;text-align:left;margin-left:-21.25pt;margin-top:11.6pt;width:55.9pt;height:332.05pt;z-index:251731456;mso-width-relative:margin;mso-height-relative:margin" fillcolor="#ff6" strokecolor="#f2f2f2">
            <v:textbox style="layout-flow:vertical;mso-layout-flow-alt:bottom-to-top;mso-next-textbox:#_x0000_s1296">
              <w:txbxContent>
                <w:p w:rsidR="00E92D98" w:rsidRPr="0085059C" w:rsidRDefault="00E92D98" w:rsidP="0047545A">
                  <w:pPr>
                    <w:spacing w:before="120"/>
                    <w:jc w:val="center"/>
                    <w:rPr>
                      <w:rFonts w:ascii="Arial" w:hAnsi="Arial" w:cs="Arial"/>
                      <w:sz w:val="18"/>
                      <w:szCs w:val="18"/>
                    </w:rPr>
                  </w:pPr>
                  <w:r w:rsidRPr="0085059C">
                    <w:rPr>
                      <w:rFonts w:ascii="Arial" w:hAnsi="Arial" w:cs="Arial"/>
                      <w:b/>
                      <w:sz w:val="18"/>
                      <w:szCs w:val="18"/>
                    </w:rPr>
                    <w:t>E.01-C. IVA</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Pr="00190436" w:rsidRDefault="0047545A" w:rsidP="0047545A">
      <w:pPr>
        <w:jc w:val="both"/>
        <w:rPr>
          <w:rFonts w:ascii="Arial" w:hAnsi="Arial" w:cs="Arial"/>
          <w:b/>
          <w:bCs/>
          <w:color w:val="943634"/>
          <w:sz w:val="20"/>
          <w:szCs w:val="20"/>
        </w:rPr>
      </w:pP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01" type="#_x0000_t202" style="position:absolute;left:0;text-align:left;margin-left:54.75pt;margin-top:9.9pt;width:246.15pt;height:146.5pt;z-index:251736576;mso-wrap-style:none;mso-width-relative:margin;mso-height-relative:margin" strokecolor="white">
            <v:textbox style="mso-next-textbox:#_x0000_s1301">
              <w:txbxContent>
                <w:p w:rsidR="00E92D98" w:rsidRPr="00252C84" w:rsidRDefault="00E92D98" w:rsidP="0047545A">
                  <w:r>
                    <w:rPr>
                      <w:noProof/>
                    </w:rPr>
                    <w:drawing>
                      <wp:inline distT="0" distB="0" distL="0" distR="0">
                        <wp:extent cx="2924393" cy="1686560"/>
                        <wp:effectExtent l="5904" t="0" r="2768" b="0"/>
                        <wp:docPr id="43489411"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299" type="#_x0000_t202" style="position:absolute;left:0;text-align:left;margin-left:310.8pt;margin-top:14.2pt;width:198.85pt;height:326.15pt;z-index:251734528;mso-width-relative:margin;mso-height-relative:margin" fillcolor="#fbd4b4" strokecolor="#f2f2f2">
            <v:textbox style="mso-next-textbox:#_x0000_s1299">
              <w:txbxContent>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Pr="00225EA4" w:rsidRDefault="00E92D98" w:rsidP="0047545A">
                  <w:pPr>
                    <w:spacing w:line="240" w:lineRule="atLeast"/>
                    <w:jc w:val="center"/>
                    <w:rPr>
                      <w:rFonts w:ascii="Arial" w:hAnsi="Arial" w:cs="Arial"/>
                      <w:sz w:val="18"/>
                      <w:szCs w:val="18"/>
                    </w:rPr>
                  </w:pPr>
                  <w:r w:rsidRPr="00225EA4">
                    <w:rPr>
                      <w:rFonts w:ascii="Arial" w:hAnsi="Arial" w:cs="Arial"/>
                      <w:sz w:val="18"/>
                      <w:szCs w:val="18"/>
                    </w:rPr>
                    <w:t xml:space="preserve">A Bacia dos rios Sapucaí Mirim/Grande destacou-se devido ao aumento de pontos mesotróficos, está progressivamente melhorando índice de estado trófico. Resultado que vem confirmar os investimentos realizados em tratamentos de efluentes, ou seja, diminuiu a quantidade de nutrientes por que diminuiu a carga orgânica, em função das ETE's implantadas. </w:t>
                  </w:r>
                  <w:r w:rsidRPr="00702618">
                    <w:rPr>
                      <w:rFonts w:ascii="Arial" w:hAnsi="Arial" w:cs="Arial"/>
                      <w:b/>
                      <w:sz w:val="18"/>
                      <w:szCs w:val="18"/>
                    </w:rPr>
                    <w:t>Para a gestão sugere-se a avaliação da eficiência do tratamento das ETE's implantadas e proposição de melhoramentos.</w:t>
                  </w:r>
                  <w:r w:rsidRPr="00225EA4">
                    <w:rPr>
                      <w:rFonts w:ascii="Arial" w:hAnsi="Arial" w:cs="Arial"/>
                      <w:sz w:val="18"/>
                      <w:szCs w:val="18"/>
                    </w:rPr>
                    <w:t xml:space="preserve">               </w:t>
                  </w:r>
                </w:p>
              </w:txbxContent>
            </v:textbox>
          </v:shape>
        </w:pict>
      </w:r>
      <w:r>
        <w:rPr>
          <w:rFonts w:ascii="Arial" w:hAnsi="Arial" w:cs="Arial"/>
          <w:b/>
          <w:noProof/>
          <w:sz w:val="20"/>
          <w:szCs w:val="20"/>
        </w:rPr>
        <w:pict>
          <v:shape id="_x0000_s1298" type="#_x0000_t202" style="position:absolute;left:0;text-align:left;margin-left:-21.25pt;margin-top:14.2pt;width:55.9pt;height:331.5pt;z-index:251733504;mso-width-relative:margin;mso-height-relative:margin" fillcolor="#ff6" strokecolor="#f2f2f2">
            <v:textbox style="layout-flow:vertical;mso-layout-flow-alt:bottom-to-top;mso-next-textbox:#_x0000_s1298">
              <w:txbxContent>
                <w:p w:rsidR="00E92D98" w:rsidRPr="0085059C" w:rsidRDefault="00E92D98" w:rsidP="0047545A">
                  <w:pPr>
                    <w:spacing w:before="120"/>
                    <w:jc w:val="center"/>
                    <w:rPr>
                      <w:rFonts w:ascii="Arial" w:hAnsi="Arial" w:cs="Arial"/>
                      <w:b/>
                      <w:sz w:val="18"/>
                      <w:szCs w:val="18"/>
                    </w:rPr>
                  </w:pPr>
                  <w:r w:rsidRPr="0085059C">
                    <w:rPr>
                      <w:rFonts w:ascii="Arial" w:hAnsi="Arial" w:cs="Arial"/>
                      <w:b/>
                      <w:sz w:val="18"/>
                      <w:szCs w:val="18"/>
                    </w:rPr>
                    <w:t>E.01-D. IET</w:t>
                  </w:r>
                </w:p>
              </w:txbxContent>
            </v:textbox>
          </v:shape>
        </w:pic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00" type="#_x0000_t202" style="position:absolute;left:0;text-align:left;margin-left:39.95pt;margin-top:1.2pt;width:251.55pt;height:226.1pt;z-index:251735552;mso-wrap-style:none;mso-width-relative:margin;mso-height-relative:margin" strokecolor="white">
            <v:textbox style="mso-next-textbox:#_x0000_s1300;mso-fit-shape-to-text:t">
              <w:txbxContent>
                <w:p w:rsidR="00E92D98" w:rsidRPr="00252C84" w:rsidRDefault="00E92D98" w:rsidP="0047545A">
                  <w:r>
                    <w:rPr>
                      <w:noProof/>
                    </w:rPr>
                    <w:drawing>
                      <wp:inline distT="0" distB="0" distL="0" distR="0">
                        <wp:extent cx="2811851" cy="2434442"/>
                        <wp:effectExtent l="19050" t="0" r="7549" b="0"/>
                        <wp:docPr id="4348941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46"/>
                                <a:srcRect/>
                                <a:stretch>
                                  <a:fillRect/>
                                </a:stretch>
                              </pic:blipFill>
                              <pic:spPr bwMode="auto">
                                <a:xfrm>
                                  <a:off x="0" y="0"/>
                                  <a:ext cx="2812546" cy="2435043"/>
                                </a:xfrm>
                                <a:prstGeom prst="rect">
                                  <a:avLst/>
                                </a:prstGeom>
                                <a:noFill/>
                                <a:ln w="9525">
                                  <a:noFill/>
                                  <a:miter lim="800000"/>
                                  <a:headEnd/>
                                  <a:tailEnd/>
                                </a:ln>
                              </pic:spPr>
                            </pic:pic>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03" type="#_x0000_t202" style="position:absolute;left:0;text-align:left;margin-left:34.65pt;margin-top:11.1pt;width:271.4pt;height:148.2pt;z-index:251738624;mso-wrap-style:none;mso-width-relative:margin;mso-height-relative:margin" strokecolor="white">
            <v:textbox style="mso-next-textbox:#_x0000_s1303;mso-fit-shape-to-text:t">
              <w:txbxContent>
                <w:p w:rsidR="00E92D98" w:rsidRPr="00252C84" w:rsidRDefault="00E92D98" w:rsidP="0047545A">
                  <w:r>
                    <w:rPr>
                      <w:noProof/>
                    </w:rPr>
                    <w:drawing>
                      <wp:inline distT="0" distB="0" distL="0" distR="0">
                        <wp:extent cx="3249715" cy="1781175"/>
                        <wp:effectExtent l="4025" t="0" r="0" b="0"/>
                        <wp:docPr id="4348940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w:r>
      <w:r w:rsidR="0081360D">
        <w:rPr>
          <w:rFonts w:ascii="Arial" w:hAnsi="Arial" w:cs="Arial"/>
          <w:b/>
          <w:noProof/>
          <w:sz w:val="20"/>
          <w:szCs w:val="20"/>
        </w:rPr>
        <w:t>bnnnnnnnn</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lastRenderedPageBreak/>
        <w:pict>
          <v:shape id="_x0000_s1369" type="#_x0000_t202" style="position:absolute;left:0;text-align:left;margin-left:-21.25pt;margin-top:-1.1pt;width:530.9pt;height:20.2pt;z-index:251806208;mso-width-relative:margin;mso-height-relative:margin" fillcolor="#d8d8d8" strokecolor="white">
            <v:textbox style="mso-next-textbox:#_x0000_s1369">
              <w:txbxContent>
                <w:p w:rsidR="00E92D98" w:rsidRPr="0050347A" w:rsidRDefault="00E92D98" w:rsidP="0047545A">
                  <w:pPr>
                    <w:jc w:val="center"/>
                    <w:rPr>
                      <w:rFonts w:ascii="Arial" w:hAnsi="Arial" w:cs="Arial"/>
                      <w:b/>
                      <w:bCs/>
                      <w:color w:val="E36C0A"/>
                      <w:sz w:val="20"/>
                      <w:szCs w:val="20"/>
                    </w:rPr>
                  </w:pPr>
                  <w:r w:rsidRPr="0050347A">
                    <w:rPr>
                      <w:rFonts w:ascii="Arial" w:hAnsi="Arial" w:cs="Arial"/>
                      <w:b/>
                      <w:bCs/>
                      <w:color w:val="E36C0A"/>
                      <w:sz w:val="20"/>
                      <w:szCs w:val="20"/>
                    </w:rPr>
                    <w:t>ESTADO: Qualidade das Águas</w:t>
                  </w:r>
                </w:p>
                <w:p w:rsidR="00E92D98" w:rsidRPr="00826C1D" w:rsidRDefault="00E92D98" w:rsidP="0047545A">
                  <w:pPr>
                    <w:rPr>
                      <w:szCs w:val="18"/>
                    </w:rPr>
                  </w:pPr>
                </w:p>
              </w:txbxContent>
            </v:textbox>
          </v:shape>
        </w:pic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70" type="#_x0000_t202" style="position:absolute;left:0;text-align:left;margin-left:46.65pt;margin-top:8.3pt;width:463pt;height:27.85pt;z-index:251807232;mso-width-relative:margin;mso-height-relative:margin" fillcolor="#d8d8d8" strokecolor="white">
            <v:textbox style="mso-next-textbox:#_x0000_s1370">
              <w:txbxContent>
                <w:p w:rsidR="00E92D98" w:rsidRPr="0050347A" w:rsidRDefault="00E92D98" w:rsidP="0047545A">
                  <w:pPr>
                    <w:spacing w:before="60"/>
                    <w:rPr>
                      <w:color w:val="E36C0A"/>
                      <w:sz w:val="16"/>
                      <w:szCs w:val="16"/>
                    </w:rPr>
                  </w:pPr>
                  <w:r w:rsidRPr="0050347A">
                    <w:rPr>
                      <w:rFonts w:ascii="Arial" w:hAnsi="Arial" w:cs="Arial"/>
                      <w:b/>
                      <w:bCs/>
                      <w:color w:val="E36C0A"/>
                      <w:sz w:val="18"/>
                      <w:szCs w:val="18"/>
                    </w:rPr>
                    <w:t xml:space="preserve">                           </w:t>
                  </w:r>
                  <w:r w:rsidRPr="0050347A">
                    <w:rPr>
                      <w:rFonts w:ascii="Arial" w:hAnsi="Arial" w:cs="Arial"/>
                      <w:b/>
                      <w:bCs/>
                      <w:color w:val="E36C0A"/>
                      <w:sz w:val="16"/>
                      <w:szCs w:val="16"/>
                    </w:rPr>
                    <w:t xml:space="preserve">Apresentação dos dados </w:t>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t>Comentário</w:t>
                  </w:r>
                </w:p>
              </w:txbxContent>
            </v:textbox>
          </v:shape>
        </w:pict>
      </w:r>
      <w:r>
        <w:rPr>
          <w:rFonts w:ascii="Arial" w:hAnsi="Arial" w:cs="Arial"/>
          <w:b/>
          <w:noProof/>
          <w:sz w:val="20"/>
          <w:szCs w:val="20"/>
        </w:rPr>
        <w:pict>
          <v:shape id="_x0000_s1368" type="#_x0000_t202" style="position:absolute;left:0;text-align:left;margin-left:-21.25pt;margin-top:8.3pt;width:55.9pt;height:27.85pt;z-index:251805184;mso-width-relative:margin;mso-height-relative:margin" fillcolor="#d8d8d8" strokecolor="white">
            <v:textbox style="mso-next-textbox:#_x0000_s1368">
              <w:txbxContent>
                <w:p w:rsidR="00E92D98" w:rsidRPr="0050347A" w:rsidRDefault="00E92D98" w:rsidP="0047545A">
                  <w:pPr>
                    <w:spacing w:before="40"/>
                    <w:rPr>
                      <w:color w:val="E36C0A"/>
                      <w:sz w:val="16"/>
                      <w:szCs w:val="16"/>
                    </w:rPr>
                  </w:pPr>
                  <w:r w:rsidRPr="0050347A">
                    <w:rPr>
                      <w:rFonts w:ascii="Arial" w:hAnsi="Arial" w:cs="Arial"/>
                      <w:b/>
                      <w:bCs/>
                      <w:color w:val="E36C0A"/>
                      <w:sz w:val="16"/>
                      <w:szCs w:val="16"/>
                    </w:rPr>
                    <w:t>Grandeza/ Parâmetro</w:t>
                  </w:r>
                </w:p>
              </w:txbxContent>
            </v:textbox>
          </v:shape>
        </w:pict>
      </w: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05" type="#_x0000_t202" style="position:absolute;left:0;text-align:left;margin-left:-21.5pt;margin-top:9.1pt;width:55.9pt;height:177.45pt;z-index:251740672;mso-width-relative:margin;mso-height-relative:margin" fillcolor="#ff6" strokecolor="#f2f2f2">
            <v:textbox style="layout-flow:vertical;mso-layout-flow-alt:bottom-to-top;mso-next-textbox:#_x0000_s1305">
              <w:txbxContent>
                <w:p w:rsidR="00E92D98" w:rsidRPr="008C271B" w:rsidRDefault="00E92D98" w:rsidP="0047545A">
                  <w:pPr>
                    <w:spacing w:before="120" w:line="360" w:lineRule="auto"/>
                    <w:jc w:val="center"/>
                    <w:rPr>
                      <w:b/>
                      <w:sz w:val="18"/>
                      <w:szCs w:val="18"/>
                    </w:rPr>
                  </w:pPr>
                  <w:r w:rsidRPr="008C271B">
                    <w:rPr>
                      <w:rFonts w:ascii="Arial" w:hAnsi="Arial" w:cs="Arial"/>
                      <w:b/>
                      <w:sz w:val="18"/>
                      <w:szCs w:val="18"/>
                    </w:rPr>
                    <w:t>E.01-E. Proporção de amostras com OD acima de 5 mg/l (%)</w:t>
                  </w:r>
                </w:p>
              </w:txbxContent>
            </v:textbox>
          </v:shape>
        </w:pict>
      </w:r>
      <w:r>
        <w:rPr>
          <w:rFonts w:ascii="Arial" w:hAnsi="Arial" w:cs="Arial"/>
          <w:b/>
          <w:noProof/>
          <w:sz w:val="20"/>
          <w:szCs w:val="20"/>
        </w:rPr>
        <w:pict>
          <v:shape id="_x0000_s1371" type="#_x0000_t202" style="position:absolute;left:0;text-align:left;margin-left:46.65pt;margin-top:9.1pt;width:244.1pt;height:177.45pt;z-index:251808256;mso-width-relative:margin;mso-height-relative:margin" strokecolor="white">
            <v:textbox style="mso-next-textbox:#_x0000_s1371">
              <w:txbxContent>
                <w:p w:rsidR="00E92D98" w:rsidRPr="00252C84" w:rsidRDefault="00E92D98" w:rsidP="0047545A">
                  <w:r>
                    <w:rPr>
                      <w:noProof/>
                    </w:rPr>
                    <w:drawing>
                      <wp:inline distT="0" distB="0" distL="0" distR="0">
                        <wp:extent cx="2909570" cy="1959610"/>
                        <wp:effectExtent l="0" t="0" r="0" b="0"/>
                        <wp:docPr id="4348940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v:textbox>
          </v:shape>
        </w:pict>
      </w:r>
      <w:r>
        <w:rPr>
          <w:rFonts w:ascii="Arial" w:hAnsi="Arial" w:cs="Arial"/>
          <w:b/>
          <w:noProof/>
          <w:sz w:val="20"/>
          <w:szCs w:val="20"/>
        </w:rPr>
        <w:pict>
          <v:shape id="_x0000_s1304" type="#_x0000_t202" style="position:absolute;left:0;text-align:left;margin-left:310.8pt;margin-top:9.1pt;width:198.85pt;height:177.45pt;z-index:251739648;mso-width-relative:margin;mso-height-relative:margin" fillcolor="#fbd4b4" strokecolor="#f2f2f2">
            <v:textbox style="mso-next-textbox:#_x0000_s1304">
              <w:txbxContent>
                <w:p w:rsidR="00E92D98" w:rsidRPr="00291CAA" w:rsidRDefault="00E92D98" w:rsidP="0047545A">
                  <w:pPr>
                    <w:spacing w:line="240" w:lineRule="atLeast"/>
                    <w:jc w:val="center"/>
                    <w:rPr>
                      <w:rFonts w:ascii="Arial" w:hAnsi="Arial" w:cs="Arial"/>
                      <w:sz w:val="16"/>
                      <w:szCs w:val="16"/>
                    </w:rPr>
                  </w:pPr>
                  <w:r w:rsidRPr="00291CAA">
                    <w:rPr>
                      <w:rFonts w:ascii="Arial" w:hAnsi="Arial" w:cs="Arial"/>
                      <w:sz w:val="16"/>
                      <w:szCs w:val="16"/>
                    </w:rPr>
                    <w:t>Para o ano de 2010 a CETESB informou a proporção de oxigênio dissolvido para Batatais 92%, Franca 92%, Guaíra 9</w:t>
                  </w:r>
                  <w:r>
                    <w:rPr>
                      <w:rFonts w:ascii="Arial" w:hAnsi="Arial" w:cs="Arial"/>
                      <w:sz w:val="16"/>
                      <w:szCs w:val="16"/>
                    </w:rPr>
                    <w:t>1%,100% para  Ituverava, Migueló</w:t>
                  </w:r>
                  <w:r w:rsidRPr="00291CAA">
                    <w:rPr>
                      <w:rFonts w:ascii="Arial" w:hAnsi="Arial" w:cs="Arial"/>
                      <w:sz w:val="16"/>
                      <w:szCs w:val="16"/>
                    </w:rPr>
                    <w:t>polis, Restinga e São José da Bela Vista.  Indicando que os corpos d'água são compatíveis com a Classe 2, podendo serem destinadas ao abastecimento para consumo humano, após tratamento convencional; à proteção das comunidades aquáticas; à recreação de contato primário, à irrigação de hortaliças, plantas frutíferas e de parques, jardins, campos de</w:t>
                  </w:r>
                </w:p>
                <w:p w:rsidR="00E92D98" w:rsidRPr="00702618" w:rsidRDefault="00E92D98" w:rsidP="0047545A">
                  <w:pPr>
                    <w:spacing w:line="240" w:lineRule="atLeast"/>
                    <w:jc w:val="center"/>
                    <w:rPr>
                      <w:rFonts w:ascii="Arial" w:hAnsi="Arial" w:cs="Arial"/>
                      <w:b/>
                      <w:sz w:val="16"/>
                      <w:szCs w:val="16"/>
                    </w:rPr>
                  </w:pPr>
                  <w:r w:rsidRPr="00291CAA">
                    <w:rPr>
                      <w:rFonts w:ascii="Arial" w:hAnsi="Arial" w:cs="Arial"/>
                      <w:sz w:val="16"/>
                      <w:szCs w:val="16"/>
                    </w:rPr>
                    <w:t xml:space="preserve">esporte e lazer, à aqüicultura e à atividade de pesca. </w:t>
                  </w:r>
                  <w:r w:rsidRPr="00702618">
                    <w:rPr>
                      <w:rFonts w:ascii="Arial" w:hAnsi="Arial" w:cs="Arial"/>
                      <w:b/>
                      <w:sz w:val="16"/>
                      <w:szCs w:val="16"/>
                    </w:rPr>
                    <w:t>Ressalta-se que o enquadramento dos corpos d'água é demanda induzida do CBH-SMG.</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73" type="#_x0000_t202" style="position:absolute;left:0;text-align:left;margin-left:46.65pt;margin-top:1.9pt;width:221.15pt;height:164.95pt;z-index:251810304;mso-wrap-style:none;mso-width-relative:margin;mso-height-relative:margin" strokecolor="white">
            <v:textbox style="mso-next-textbox:#_x0000_s1373;mso-fit-shape-to-text:t">
              <w:txbxContent>
                <w:p w:rsidR="00E92D98" w:rsidRPr="00261391" w:rsidRDefault="00E92D98" w:rsidP="0047545A">
                  <w:pPr>
                    <w:rPr>
                      <w:szCs w:val="16"/>
                    </w:rPr>
                  </w:pPr>
                  <w:r>
                    <w:rPr>
                      <w:noProof/>
                      <w:szCs w:val="16"/>
                    </w:rPr>
                    <w:drawing>
                      <wp:inline distT="0" distB="0" distL="0" distR="0">
                        <wp:extent cx="2612390" cy="1816735"/>
                        <wp:effectExtent l="0" t="0" r="0" b="0"/>
                        <wp:docPr id="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v:textbox>
          </v:shape>
        </w:pict>
      </w:r>
      <w:r>
        <w:rPr>
          <w:rFonts w:ascii="Arial" w:hAnsi="Arial" w:cs="Arial"/>
          <w:b/>
          <w:noProof/>
          <w:sz w:val="20"/>
          <w:szCs w:val="20"/>
        </w:rPr>
        <w:pict>
          <v:shape id="_x0000_s1372" type="#_x0000_t202" style="position:absolute;left:0;text-align:left;margin-left:-21.5pt;margin-top:1.9pt;width:55.9pt;height:158.35pt;z-index:251809280;mso-width-relative:margin;mso-height-relative:margin" fillcolor="#ff6" strokecolor="#f2f2f2">
            <v:textbox style="layout-flow:vertical;mso-layout-flow-alt:bottom-to-top;mso-next-textbox:#_x0000_s1372">
              <w:txbxContent>
                <w:p w:rsidR="00E92D98" w:rsidRPr="00261391" w:rsidRDefault="00E92D98" w:rsidP="0047545A">
                  <w:pPr>
                    <w:spacing w:line="200" w:lineRule="exact"/>
                    <w:jc w:val="center"/>
                    <w:rPr>
                      <w:szCs w:val="16"/>
                    </w:rPr>
                  </w:pPr>
                  <w:r w:rsidRPr="00261391">
                    <w:rPr>
                      <w:rFonts w:ascii="Arial" w:hAnsi="Arial" w:cs="Arial"/>
                      <w:b/>
                      <w:sz w:val="18"/>
                      <w:szCs w:val="18"/>
                    </w:rPr>
                    <w:t>E.02-B. Quantidade de amostras desconformes em relação aos padrões de potabilidade da água (%)</w:t>
                  </w:r>
                </w:p>
              </w:txbxContent>
            </v:textbox>
          </v:shape>
        </w:pict>
      </w:r>
      <w:r>
        <w:rPr>
          <w:rFonts w:ascii="Arial" w:hAnsi="Arial" w:cs="Arial"/>
          <w:b/>
          <w:noProof/>
          <w:sz w:val="20"/>
          <w:szCs w:val="20"/>
        </w:rPr>
        <w:pict>
          <v:shape id="_x0000_s1306" type="#_x0000_t202" style="position:absolute;left:0;text-align:left;margin-left:310.8pt;margin-top:1.9pt;width:198.85pt;height:158.35pt;z-index:251741696;mso-width-relative:margin;mso-height-relative:margin" fillcolor="#fbd4b4" strokecolor="#f2f2f2">
            <v:textbox style="mso-next-textbox:#_x0000_s1306">
              <w:txbxContent>
                <w:p w:rsidR="00E92D98" w:rsidRDefault="00E92D98" w:rsidP="0047545A">
                  <w:pPr>
                    <w:spacing w:line="240" w:lineRule="atLeast"/>
                    <w:jc w:val="center"/>
                    <w:rPr>
                      <w:rFonts w:ascii="Arial" w:hAnsi="Arial" w:cs="Arial"/>
                      <w:sz w:val="18"/>
                      <w:szCs w:val="18"/>
                    </w:rPr>
                  </w:pPr>
                </w:p>
                <w:p w:rsidR="00E92D98" w:rsidRDefault="00E92D98" w:rsidP="0047545A">
                  <w:pPr>
                    <w:spacing w:line="240" w:lineRule="atLeast"/>
                    <w:jc w:val="center"/>
                    <w:rPr>
                      <w:rFonts w:ascii="Arial" w:hAnsi="Arial" w:cs="Arial"/>
                      <w:sz w:val="18"/>
                      <w:szCs w:val="18"/>
                    </w:rPr>
                  </w:pPr>
                </w:p>
                <w:p w:rsidR="00E92D98" w:rsidRPr="00261391" w:rsidRDefault="00E92D98" w:rsidP="0047545A">
                  <w:pPr>
                    <w:spacing w:line="240" w:lineRule="atLeast"/>
                    <w:jc w:val="center"/>
                    <w:rPr>
                      <w:rFonts w:ascii="Arial" w:hAnsi="Arial" w:cs="Arial"/>
                      <w:sz w:val="18"/>
                      <w:szCs w:val="18"/>
                    </w:rPr>
                  </w:pPr>
                  <w:r w:rsidRPr="00261391">
                    <w:rPr>
                      <w:rFonts w:ascii="Arial" w:hAnsi="Arial" w:cs="Arial"/>
                      <w:sz w:val="18"/>
                      <w:szCs w:val="18"/>
                    </w:rPr>
                    <w:t>Para o ano de 2010 a CETESB não forneceu dados. As amostras são coletadas semestralmente e publicadas tri-anualmente pela CETESB no Relat</w:t>
                  </w:r>
                  <w:r>
                    <w:rPr>
                      <w:rFonts w:ascii="Arial" w:hAnsi="Arial" w:cs="Arial"/>
                      <w:sz w:val="18"/>
                      <w:szCs w:val="18"/>
                    </w:rPr>
                    <w:t>ó</w:t>
                  </w:r>
                  <w:r w:rsidRPr="00261391">
                    <w:rPr>
                      <w:rFonts w:ascii="Arial" w:hAnsi="Arial" w:cs="Arial"/>
                      <w:sz w:val="18"/>
                      <w:szCs w:val="18"/>
                    </w:rPr>
                    <w:t>rio de Qualidade das Águas Subterrâneas.</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jc w:val="center"/>
        <w:rPr>
          <w:rFonts w:ascii="Arial" w:hAnsi="Arial" w:cs="Arial"/>
          <w:b/>
          <w:bCs/>
          <w:color w:val="943634"/>
        </w:rPr>
      </w:pPr>
    </w:p>
    <w:p w:rsidR="0047545A" w:rsidRDefault="0047545A" w:rsidP="0047545A">
      <w:pPr>
        <w:jc w:val="both"/>
        <w:rPr>
          <w:rFonts w:ascii="Arial" w:hAnsi="Arial" w:cs="Arial"/>
          <w:b/>
          <w:bCs/>
          <w:color w:val="943634"/>
          <w:sz w:val="20"/>
          <w:szCs w:val="20"/>
        </w:rPr>
      </w:pPr>
    </w:p>
    <w:p w:rsidR="0047545A" w:rsidRDefault="0047545A" w:rsidP="0047545A">
      <w:pPr>
        <w:jc w:val="both"/>
        <w:rPr>
          <w:rFonts w:ascii="Arial" w:hAnsi="Arial" w:cs="Arial"/>
          <w:b/>
          <w:bCs/>
          <w:color w:val="943634"/>
          <w:sz w:val="20"/>
          <w:szCs w:val="20"/>
        </w:rPr>
      </w:pPr>
    </w:p>
    <w:p w:rsidR="0047545A" w:rsidRDefault="0047545A" w:rsidP="0047545A">
      <w:pPr>
        <w:jc w:val="both"/>
        <w:rPr>
          <w:rFonts w:ascii="Arial" w:hAnsi="Arial" w:cs="Arial"/>
          <w:b/>
          <w:bCs/>
          <w:color w:val="943634"/>
          <w:sz w:val="20"/>
          <w:szCs w:val="20"/>
        </w:rPr>
      </w:pPr>
    </w:p>
    <w:p w:rsidR="0047545A" w:rsidRDefault="0047545A" w:rsidP="0047545A">
      <w:pPr>
        <w:jc w:val="both"/>
        <w:rPr>
          <w:rFonts w:ascii="Arial" w:hAnsi="Arial" w:cs="Arial"/>
          <w:b/>
          <w:bCs/>
          <w:color w:val="943634"/>
          <w:sz w:val="20"/>
          <w:szCs w:val="20"/>
        </w:rPr>
      </w:pPr>
    </w:p>
    <w:p w:rsidR="0047545A" w:rsidRDefault="008E0DDB" w:rsidP="0047545A">
      <w:pPr>
        <w:jc w:val="both"/>
        <w:rPr>
          <w:rFonts w:ascii="Arial" w:hAnsi="Arial" w:cs="Arial"/>
          <w:b/>
          <w:bCs/>
          <w:color w:val="943634"/>
          <w:sz w:val="20"/>
          <w:szCs w:val="20"/>
        </w:rPr>
      </w:pPr>
      <w:r>
        <w:rPr>
          <w:rFonts w:ascii="Arial" w:hAnsi="Arial" w:cs="Arial"/>
          <w:b/>
          <w:bCs/>
          <w:noProof/>
          <w:color w:val="943634"/>
          <w:sz w:val="20"/>
          <w:szCs w:val="20"/>
        </w:rPr>
        <w:pict>
          <v:shape id="_x0000_s1375" type="#_x0000_t202" style="position:absolute;left:0;text-align:left;margin-left:-21.25pt;margin-top:-1.95pt;width:530.9pt;height:20.2pt;z-index:251812352;mso-width-relative:margin;mso-height-relative:margin" fillcolor="#d8d8d8" strokecolor="white">
            <v:textbox style="mso-next-textbox:#_x0000_s1375">
              <w:txbxContent>
                <w:p w:rsidR="00E92D98" w:rsidRPr="0050347A" w:rsidRDefault="00E92D98" w:rsidP="0047545A">
                  <w:pPr>
                    <w:jc w:val="center"/>
                    <w:rPr>
                      <w:rFonts w:ascii="Arial" w:hAnsi="Arial" w:cs="Arial"/>
                      <w:b/>
                      <w:bCs/>
                      <w:color w:val="E36C0A"/>
                      <w:sz w:val="20"/>
                      <w:szCs w:val="20"/>
                    </w:rPr>
                  </w:pPr>
                  <w:r w:rsidRPr="0050347A">
                    <w:rPr>
                      <w:rFonts w:ascii="Arial" w:hAnsi="Arial" w:cs="Arial"/>
                      <w:b/>
                      <w:bCs/>
                      <w:color w:val="E36C0A"/>
                      <w:sz w:val="20"/>
                      <w:szCs w:val="20"/>
                    </w:rPr>
                    <w:t xml:space="preserve">ESTADO: </w:t>
                  </w:r>
                  <w:r>
                    <w:rPr>
                      <w:rFonts w:ascii="Arial" w:hAnsi="Arial" w:cs="Arial"/>
                      <w:b/>
                      <w:bCs/>
                      <w:color w:val="E36C0A"/>
                      <w:sz w:val="20"/>
                      <w:szCs w:val="20"/>
                    </w:rPr>
                    <w:t>Disponibi</w:t>
                  </w:r>
                  <w:r w:rsidRPr="0050347A">
                    <w:rPr>
                      <w:rFonts w:ascii="Arial" w:hAnsi="Arial" w:cs="Arial"/>
                      <w:b/>
                      <w:bCs/>
                      <w:color w:val="E36C0A"/>
                      <w:sz w:val="20"/>
                      <w:szCs w:val="20"/>
                    </w:rPr>
                    <w:t>lidade das Águas</w:t>
                  </w:r>
                </w:p>
                <w:p w:rsidR="00E92D98" w:rsidRPr="00826C1D" w:rsidRDefault="00E92D98" w:rsidP="0047545A">
                  <w:pPr>
                    <w:rPr>
                      <w:szCs w:val="18"/>
                    </w:rPr>
                  </w:pPr>
                </w:p>
              </w:txbxContent>
            </v:textbox>
          </v:shape>
        </w:pict>
      </w:r>
    </w:p>
    <w:p w:rsidR="00702618" w:rsidRDefault="00702618" w:rsidP="0047545A">
      <w:pPr>
        <w:jc w:val="both"/>
        <w:rPr>
          <w:rFonts w:ascii="Arial" w:hAnsi="Arial" w:cs="Arial"/>
          <w:b/>
          <w:bCs/>
          <w:color w:val="943634"/>
          <w:sz w:val="20"/>
          <w:szCs w:val="20"/>
        </w:rPr>
      </w:pPr>
    </w:p>
    <w:p w:rsidR="0047545A" w:rsidRPr="00190436" w:rsidRDefault="008E0DDB" w:rsidP="0047545A">
      <w:pPr>
        <w:jc w:val="both"/>
        <w:rPr>
          <w:rFonts w:ascii="Arial" w:hAnsi="Arial" w:cs="Arial"/>
          <w:b/>
          <w:bCs/>
          <w:color w:val="943634"/>
          <w:sz w:val="20"/>
          <w:szCs w:val="20"/>
        </w:rPr>
      </w:pPr>
      <w:r>
        <w:rPr>
          <w:rFonts w:ascii="Arial" w:hAnsi="Arial" w:cs="Arial"/>
          <w:b/>
          <w:bCs/>
          <w:noProof/>
          <w:color w:val="943634"/>
          <w:sz w:val="20"/>
          <w:szCs w:val="20"/>
        </w:rPr>
        <w:pict>
          <v:shape id="_x0000_s1374" type="#_x0000_t202" style="position:absolute;left:0;text-align:left;margin-left:-21.25pt;margin-top:1.7pt;width:55.9pt;height:27.85pt;z-index:251811328;mso-width-relative:margin;mso-height-relative:margin" fillcolor="#d8d8d8" strokecolor="white">
            <v:textbox style="mso-next-textbox:#_x0000_s1374">
              <w:txbxContent>
                <w:p w:rsidR="00E92D98" w:rsidRPr="0050347A" w:rsidRDefault="00E92D98" w:rsidP="0047545A">
                  <w:pPr>
                    <w:spacing w:before="40"/>
                    <w:rPr>
                      <w:color w:val="E36C0A"/>
                      <w:sz w:val="16"/>
                      <w:szCs w:val="16"/>
                    </w:rPr>
                  </w:pPr>
                  <w:r w:rsidRPr="0050347A">
                    <w:rPr>
                      <w:rFonts w:ascii="Arial" w:hAnsi="Arial" w:cs="Arial"/>
                      <w:b/>
                      <w:bCs/>
                      <w:color w:val="E36C0A"/>
                      <w:sz w:val="16"/>
                      <w:szCs w:val="16"/>
                    </w:rPr>
                    <w:t>Grandeza/ Parâmetro</w:t>
                  </w:r>
                </w:p>
              </w:txbxContent>
            </v:textbox>
          </v:shape>
        </w:pict>
      </w:r>
      <w:r>
        <w:rPr>
          <w:rFonts w:ascii="Arial" w:hAnsi="Arial" w:cs="Arial"/>
          <w:b/>
          <w:bCs/>
          <w:noProof/>
          <w:color w:val="943634"/>
          <w:sz w:val="20"/>
          <w:szCs w:val="20"/>
        </w:rPr>
        <w:pict>
          <v:shape id="_x0000_s1376" type="#_x0000_t202" style="position:absolute;left:0;text-align:left;margin-left:46.65pt;margin-top:1.7pt;width:463pt;height:27.85pt;z-index:251813376;mso-width-relative:margin;mso-height-relative:margin" fillcolor="#d8d8d8" strokecolor="white">
            <v:textbox style="mso-next-textbox:#_x0000_s1376">
              <w:txbxContent>
                <w:p w:rsidR="00E92D98" w:rsidRPr="0050347A" w:rsidRDefault="00E92D98" w:rsidP="0047545A">
                  <w:pPr>
                    <w:spacing w:before="60"/>
                    <w:rPr>
                      <w:color w:val="E36C0A"/>
                      <w:sz w:val="16"/>
                      <w:szCs w:val="16"/>
                    </w:rPr>
                  </w:pPr>
                  <w:r w:rsidRPr="0050347A">
                    <w:rPr>
                      <w:rFonts w:ascii="Arial" w:hAnsi="Arial" w:cs="Arial"/>
                      <w:b/>
                      <w:bCs/>
                      <w:color w:val="E36C0A"/>
                      <w:sz w:val="18"/>
                      <w:szCs w:val="18"/>
                    </w:rPr>
                    <w:t xml:space="preserve">                           </w:t>
                  </w:r>
                  <w:r w:rsidRPr="0050347A">
                    <w:rPr>
                      <w:rFonts w:ascii="Arial" w:hAnsi="Arial" w:cs="Arial"/>
                      <w:b/>
                      <w:bCs/>
                      <w:color w:val="E36C0A"/>
                      <w:sz w:val="16"/>
                      <w:szCs w:val="16"/>
                    </w:rPr>
                    <w:t xml:space="preserve">Apresentação dos dados </w:t>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t>Comentário</w:t>
                  </w:r>
                </w:p>
              </w:txbxContent>
            </v:textbox>
          </v:shape>
        </w:pict>
      </w:r>
    </w:p>
    <w:p w:rsidR="00702618" w:rsidRDefault="00702618"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77" type="#_x0000_t202" style="position:absolute;left:0;text-align:left;margin-left:54.75pt;margin-top:12.95pt;width:240.35pt;height:27.85pt;z-index:251814400;mso-width-relative:margin;mso-height-relative:margin" fillcolor="#d8d8d8" strokecolor="white">
            <v:textbox style="mso-next-textbox:#_x0000_s1377">
              <w:txbxContent>
                <w:p w:rsidR="00E92D98" w:rsidRPr="00023D8E" w:rsidRDefault="00E92D98" w:rsidP="0047545A">
                  <w:pPr>
                    <w:spacing w:before="60"/>
                    <w:rPr>
                      <w:color w:val="E36C0A"/>
                      <w:sz w:val="18"/>
                      <w:szCs w:val="18"/>
                    </w:rPr>
                  </w:pPr>
                  <w:r>
                    <w:rPr>
                      <w:rFonts w:ascii="Arial" w:hAnsi="Arial" w:cs="Arial"/>
                      <w:b/>
                      <w:bCs/>
                      <w:color w:val="E36C0A"/>
                      <w:sz w:val="16"/>
                      <w:szCs w:val="16"/>
                    </w:rPr>
                    <w:t xml:space="preserve">      </w:t>
                  </w:r>
                  <w:r w:rsidRPr="00023D8E">
                    <w:rPr>
                      <w:rFonts w:ascii="Arial" w:hAnsi="Arial" w:cs="Arial"/>
                      <w:b/>
                      <w:bCs/>
                      <w:color w:val="E36C0A"/>
                      <w:sz w:val="18"/>
                      <w:szCs w:val="18"/>
                    </w:rPr>
                    <w:t>2007</w:t>
                  </w:r>
                  <w:r w:rsidRPr="00023D8E">
                    <w:rPr>
                      <w:rFonts w:ascii="Arial" w:hAnsi="Arial" w:cs="Arial"/>
                      <w:b/>
                      <w:bCs/>
                      <w:color w:val="E36C0A"/>
                      <w:sz w:val="18"/>
                      <w:szCs w:val="18"/>
                    </w:rPr>
                    <w:tab/>
                  </w:r>
                  <w:r>
                    <w:rPr>
                      <w:rFonts w:ascii="Arial" w:hAnsi="Arial" w:cs="Arial"/>
                      <w:b/>
                      <w:bCs/>
                      <w:color w:val="E36C0A"/>
                      <w:sz w:val="18"/>
                      <w:szCs w:val="18"/>
                    </w:rPr>
                    <w:t xml:space="preserve">                  2008               2009                  2010</w:t>
                  </w:r>
                  <w:r w:rsidRPr="00023D8E">
                    <w:rPr>
                      <w:rFonts w:ascii="Arial" w:hAnsi="Arial" w:cs="Arial"/>
                      <w:b/>
                      <w:bCs/>
                      <w:color w:val="E36C0A"/>
                      <w:sz w:val="18"/>
                      <w:szCs w:val="18"/>
                    </w:rPr>
                    <w:tab/>
                  </w:r>
                  <w:r w:rsidRPr="00023D8E">
                    <w:rPr>
                      <w:rFonts w:ascii="Arial" w:hAnsi="Arial" w:cs="Arial"/>
                      <w:b/>
                      <w:bCs/>
                      <w:color w:val="E36C0A"/>
                      <w:sz w:val="18"/>
                      <w:szCs w:val="18"/>
                    </w:rPr>
                    <w:tab/>
                  </w:r>
                  <w:r w:rsidRPr="00023D8E">
                    <w:rPr>
                      <w:rFonts w:ascii="Arial" w:hAnsi="Arial" w:cs="Arial"/>
                      <w:b/>
                      <w:bCs/>
                      <w:color w:val="E36C0A"/>
                      <w:sz w:val="18"/>
                      <w:szCs w:val="18"/>
                    </w:rPr>
                    <w:tab/>
                  </w:r>
                  <w:r w:rsidRPr="00023D8E">
                    <w:rPr>
                      <w:rFonts w:ascii="Arial" w:hAnsi="Arial" w:cs="Arial"/>
                      <w:b/>
                      <w:bCs/>
                      <w:color w:val="E36C0A"/>
                      <w:sz w:val="18"/>
                      <w:szCs w:val="18"/>
                    </w:rPr>
                    <w:tab/>
                  </w:r>
                </w:p>
              </w:txbxContent>
            </v:textbox>
          </v:shape>
        </w:pict>
      </w:r>
      <w:r w:rsidR="0047545A">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Pr="00754DAA" w:rsidRDefault="0047545A" w:rsidP="0047545A">
      <w:pPr>
        <w:pStyle w:val="Corpodetexto"/>
        <w:spacing w:line="360" w:lineRule="auto"/>
        <w:rPr>
          <w:rFonts w:ascii="Arial" w:hAnsi="Arial" w:cs="Arial"/>
          <w:b/>
          <w:noProof/>
          <w:color w:val="7030A0"/>
          <w:sz w:val="20"/>
          <w:szCs w:val="20"/>
        </w:rPr>
      </w:pPr>
      <w:r>
        <w:rPr>
          <w:rFonts w:ascii="Arial" w:hAnsi="Arial" w:cs="Arial"/>
          <w:b/>
          <w:noProof/>
          <w:sz w:val="20"/>
          <w:szCs w:val="20"/>
        </w:rPr>
        <w:t xml:space="preserve">  </w:t>
      </w:r>
      <w:r w:rsidR="008E0DDB">
        <w:rPr>
          <w:rFonts w:ascii="Arial" w:hAnsi="Arial" w:cs="Arial"/>
          <w:b/>
          <w:noProof/>
          <w:color w:val="7030A0"/>
          <w:sz w:val="20"/>
          <w:szCs w:val="20"/>
        </w:rPr>
        <w:pict>
          <v:shape id="_x0000_s1307" type="#_x0000_t202" style="position:absolute;left:0;text-align:left;margin-left:-21.25pt;margin-top:10.8pt;width:55.9pt;height:119pt;z-index:251742720;mso-position-horizontal-relative:text;mso-position-vertical-relative:text;mso-width-relative:margin;mso-height-relative:margin" fillcolor="#ff6" strokecolor="#f2f2f2">
            <v:textbox style="layout-flow:vertical;mso-layout-flow-alt:bottom-to-top;mso-next-textbox:#_x0000_s1307">
              <w:txbxContent>
                <w:p w:rsidR="00E92D98" w:rsidRPr="00023D8E" w:rsidRDefault="00E92D98" w:rsidP="0047545A">
                  <w:pPr>
                    <w:jc w:val="center"/>
                    <w:rPr>
                      <w:rFonts w:ascii="Arial" w:hAnsi="Arial" w:cs="Arial"/>
                      <w:b/>
                      <w:sz w:val="18"/>
                      <w:szCs w:val="18"/>
                    </w:rPr>
                  </w:pPr>
                  <w:r w:rsidRPr="00023D8E">
                    <w:rPr>
                      <w:rFonts w:ascii="Arial" w:hAnsi="Arial" w:cs="Arial"/>
                      <w:b/>
                      <w:sz w:val="18"/>
                      <w:szCs w:val="18"/>
                    </w:rPr>
                    <w:t>E.04-A Disponibilidade per capita - Qmédio em relação à população total (m3/hab.ano)</w:t>
                  </w:r>
                </w:p>
              </w:txbxContent>
            </v:textbox>
          </v:shape>
        </w:pict>
      </w:r>
      <w:r w:rsidR="008E0DDB">
        <w:rPr>
          <w:rFonts w:ascii="Arial" w:hAnsi="Arial" w:cs="Arial"/>
          <w:b/>
          <w:noProof/>
          <w:color w:val="7030A0"/>
          <w:sz w:val="20"/>
          <w:szCs w:val="20"/>
        </w:rPr>
        <w:pict>
          <v:shape id="_x0000_s1308" type="#_x0000_t202" style="position:absolute;left:0;text-align:left;margin-left:310.8pt;margin-top:8.85pt;width:198.85pt;height:251pt;z-index:251743744;mso-position-horizontal-relative:text;mso-position-vertical-relative:text;mso-width-relative:margin;mso-height-relative:margin" strokecolor="#f2f2f2">
            <v:textbox style="mso-next-textbox:#_x0000_s1308">
              <w:txbxContent>
                <w:p w:rsidR="00E92D98" w:rsidRPr="00702618" w:rsidRDefault="00E92D98" w:rsidP="0047545A">
                  <w:pPr>
                    <w:spacing w:line="240" w:lineRule="atLeast"/>
                    <w:jc w:val="center"/>
                    <w:rPr>
                      <w:rFonts w:ascii="Arial" w:hAnsi="Arial" w:cs="Arial"/>
                      <w:b/>
                      <w:sz w:val="16"/>
                      <w:szCs w:val="16"/>
                    </w:rPr>
                  </w:pPr>
                  <w:r w:rsidRPr="00023D8E">
                    <w:rPr>
                      <w:rFonts w:ascii="Arial" w:hAnsi="Arial" w:cs="Arial"/>
                      <w:sz w:val="16"/>
                      <w:szCs w:val="16"/>
                    </w:rPr>
                    <w:t xml:space="preserve">Salientando que a disponibilidade de água anual por habitante na UGRHI 08 é de 6.872 m³, não retrata a real situação da bacia, pois os outros usos da água (industrial, rural, etc.) não são levados em consideração. Entretanto como primeira análise a disponibilidade de 1800 l/hab.dia, evidencia a rica disponibilidade hídrica considerando o parâmetro médio de consumo de 200l/hab.dia, segundo a  UNESCO (2003). A estimativa da reserva explotável de água subterrânea é calculada pela diferença entre a vazão de permanecia (Q95%) e   a vazão mínima (Q7,10), sendo que a tendência é diminuir a disponibilidade hídrica em função do crescimento populacional, como vinha ocorrendo entre 2007 e 2009, observando incoerência do valor para o ano de 2010. Entretanto, observa-se que a disponibilidade de 2300l/hab.dia (não considerando outros usos: industrial, rural) é rica. </w:t>
                  </w:r>
                  <w:r w:rsidRPr="00702618">
                    <w:rPr>
                      <w:rFonts w:ascii="Arial" w:hAnsi="Arial" w:cs="Arial"/>
                      <w:b/>
                      <w:sz w:val="16"/>
                      <w:szCs w:val="16"/>
                    </w:rPr>
                    <w:t>Para a gestão: educação ambiental, políticas de uso racional da água.</w:t>
                  </w:r>
                </w:p>
              </w:txbxContent>
            </v:textbox>
          </v:shape>
        </w:pict>
      </w:r>
      <w:r w:rsidR="008E0DDB">
        <w:rPr>
          <w:rFonts w:ascii="Arial" w:hAnsi="Arial" w:cs="Arial"/>
          <w:b/>
          <w:noProof/>
          <w:color w:val="7030A0"/>
          <w:sz w:val="20"/>
          <w:szCs w:val="20"/>
        </w:rPr>
        <w:pict>
          <v:shape id="_x0000_s1350" type="#_x0000_t202" style="position:absolute;left:0;text-align:left;margin-left:239.7pt;margin-top:8.85pt;width:55.85pt;height:110.25pt;z-index:251786752;mso-position-horizontal-relative:text;mso-position-vertical-relative:text;mso-width-relative:margin;mso-height-relative:margin" fillcolor="#cfc" strokecolor="white">
            <v:textbox style="mso-next-textbox:#_x0000_s1350">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39090" cy="534390"/>
                        <wp:effectExtent l="19050" t="0" r="0" b="0"/>
                        <wp:docPr id="5" name="Imagem 14"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ara_verde.png"/>
                                <pic:cNvPicPr>
                                  <a:picLocks noChangeAspect="1" noChangeArrowheads="1"/>
                                </pic:cNvPicPr>
                              </pic:nvPicPr>
                              <pic:blipFill>
                                <a:blip r:embed="rId11"/>
                                <a:srcRect/>
                                <a:stretch>
                                  <a:fillRect/>
                                </a:stretch>
                              </pic:blipFill>
                              <pic:spPr bwMode="auto">
                                <a:xfrm>
                                  <a:off x="0" y="0"/>
                                  <a:ext cx="539372"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6872,00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sidR="008E0DDB">
        <w:rPr>
          <w:rFonts w:ascii="Arial" w:hAnsi="Arial" w:cs="Arial"/>
          <w:b/>
          <w:noProof/>
          <w:color w:val="7030A0"/>
          <w:sz w:val="20"/>
          <w:szCs w:val="20"/>
        </w:rPr>
        <w:pict>
          <v:shape id="_x0000_s1349" type="#_x0000_t202" style="position:absolute;left:0;text-align:left;margin-left:176.15pt;margin-top:10.8pt;width:55.85pt;height:110.25pt;z-index:251785728;mso-position-horizontal-relative:text;mso-position-vertical-relative:text;mso-width-relative:margin;mso-height-relative:margin" fillcolor="#cfc" strokecolor="white">
            <v:textbox style="mso-next-textbox:#_x0000_s1349">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7215" cy="534389"/>
                        <wp:effectExtent l="19050" t="0" r="0" b="0"/>
                        <wp:docPr id="11" name="Imagem 13"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ara_verde.png"/>
                                <pic:cNvPicPr>
                                  <a:picLocks noChangeAspect="1" noChangeArrowheads="1"/>
                                </pic:cNvPicPr>
                              </pic:nvPicPr>
                              <pic:blipFill>
                                <a:blip r:embed="rId11"/>
                                <a:srcRect/>
                                <a:stretch>
                                  <a:fillRect/>
                                </a:stretch>
                              </pic:blipFill>
                              <pic:spPr bwMode="auto">
                                <a:xfrm>
                                  <a:off x="0" y="0"/>
                                  <a:ext cx="527492"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6640,00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sidR="008E0DDB">
        <w:rPr>
          <w:rFonts w:ascii="Arial" w:hAnsi="Arial" w:cs="Arial"/>
          <w:b/>
          <w:noProof/>
          <w:color w:val="7030A0"/>
          <w:sz w:val="20"/>
          <w:szCs w:val="20"/>
        </w:rPr>
        <w:pict>
          <v:shape id="_x0000_s1348" type="#_x0000_t202" style="position:absolute;left:0;text-align:left;margin-left:115.45pt;margin-top:10.8pt;width:55.85pt;height:110.25pt;z-index:251784704;mso-position-horizontal-relative:text;mso-position-vertical-relative:text;mso-width-relative:margin;mso-height-relative:margin" fillcolor="#cfc" strokecolor="white">
            <v:textbox style="mso-next-textbox:#_x0000_s1348">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39091" cy="534389"/>
                        <wp:effectExtent l="19050" t="0" r="0" b="0"/>
                        <wp:docPr id="12" name="Imagem 11"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ra_verde.png"/>
                                <pic:cNvPicPr>
                                  <a:picLocks noChangeAspect="1" noChangeArrowheads="1"/>
                                </pic:cNvPicPr>
                              </pic:nvPicPr>
                              <pic:blipFill>
                                <a:blip r:embed="rId11"/>
                                <a:srcRect/>
                                <a:stretch>
                                  <a:fillRect/>
                                </a:stretch>
                              </pic:blipFill>
                              <pic:spPr bwMode="auto">
                                <a:xfrm>
                                  <a:off x="0" y="0"/>
                                  <a:ext cx="539374"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6728,00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sidR="008E0DDB">
        <w:rPr>
          <w:rFonts w:ascii="Arial" w:hAnsi="Arial" w:cs="Arial"/>
          <w:b/>
          <w:noProof/>
          <w:color w:val="7030A0"/>
          <w:sz w:val="20"/>
          <w:szCs w:val="20"/>
        </w:rPr>
        <w:pict>
          <v:shape id="_x0000_s1309" type="#_x0000_t202" style="position:absolute;left:0;text-align:left;margin-left:54.75pt;margin-top:10.8pt;width:55.85pt;height:110.25pt;z-index:251744768;mso-position-horizontal-relative:text;mso-position-vertical-relative:text;mso-width-relative:margin;mso-height-relative:margin" fillcolor="#cfc" strokecolor="white">
            <v:textbox style="mso-next-textbox:#_x0000_s1309">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39091" cy="534389"/>
                        <wp:effectExtent l="19050" t="0" r="0" b="0"/>
                        <wp:docPr id="13"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39374"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6738,00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sidRPr="00754DAA">
        <w:rPr>
          <w:rFonts w:ascii="Arial" w:hAnsi="Arial" w:cs="Arial"/>
          <w:b/>
          <w:bCs/>
          <w:color w:val="7030A0"/>
          <w:sz w:val="20"/>
          <w:szCs w:val="20"/>
        </w:rPr>
        <w:tab/>
      </w:r>
      <w:r w:rsidRPr="00754DAA">
        <w:rPr>
          <w:rFonts w:ascii="Arial" w:hAnsi="Arial" w:cs="Arial"/>
          <w:b/>
          <w:bCs/>
          <w:color w:val="7030A0"/>
          <w:sz w:val="20"/>
          <w:szCs w:val="20"/>
        </w:rPr>
        <w:tab/>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11" type="#_x0000_t202" style="position:absolute;left:0;text-align:left;margin-left:54.5pt;margin-top:14.7pt;width:240.6pt;height:124.4pt;z-index:251746816;mso-wrap-style:none;mso-width-relative:margin;mso-height-relative:margin" strokecolor="#a5a5a5">
            <v:textbox style="mso-next-textbox:#_x0000_s1311">
              <w:txbxContent>
                <w:p w:rsidR="00E92D98" w:rsidRPr="00252C84" w:rsidRDefault="00E92D98" w:rsidP="0047545A">
                  <w:r>
                    <w:rPr>
                      <w:noProof/>
                    </w:rPr>
                    <w:drawing>
                      <wp:inline distT="0" distB="0" distL="0" distR="0">
                        <wp:extent cx="2861945" cy="1567815"/>
                        <wp:effectExtent l="0" t="0" r="0" b="0"/>
                        <wp:docPr id="14"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v:shape>
        </w:pict>
      </w:r>
      <w:r>
        <w:rPr>
          <w:rFonts w:ascii="Arial" w:hAnsi="Arial" w:cs="Arial"/>
          <w:b/>
          <w:noProof/>
          <w:sz w:val="20"/>
          <w:szCs w:val="20"/>
        </w:rPr>
        <w:pict>
          <v:shape id="_x0000_s1310" type="#_x0000_t202" style="position:absolute;left:0;text-align:left;margin-left:-21.25pt;margin-top:14.7pt;width:55.9pt;height:124.4pt;z-index:251745792;mso-width-relative:margin;mso-height-relative:margin" fillcolor="#ff6" strokecolor="#f2f2f2">
            <v:textbox style="layout-flow:vertical;mso-layout-flow-alt:bottom-to-top;mso-next-textbox:#_x0000_s1310">
              <w:txbxContent>
                <w:p w:rsidR="00E92D98" w:rsidRPr="00023D8E" w:rsidRDefault="00E92D98" w:rsidP="0047545A">
                  <w:pPr>
                    <w:jc w:val="center"/>
                    <w:rPr>
                      <w:rFonts w:ascii="Arial" w:hAnsi="Arial" w:cs="Arial"/>
                      <w:b/>
                      <w:sz w:val="18"/>
                      <w:szCs w:val="18"/>
                    </w:rPr>
                  </w:pPr>
                  <w:r w:rsidRPr="00023D8E">
                    <w:rPr>
                      <w:rFonts w:ascii="Arial" w:hAnsi="Arial" w:cs="Arial"/>
                      <w:b/>
                      <w:sz w:val="18"/>
                      <w:szCs w:val="18"/>
                    </w:rPr>
                    <w:t>E.05-A Disponibilidade per capita de água subterrânea (m3/hab.ano)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272ED2" w:rsidRDefault="00272ED2"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78" type="#_x0000_t202" style="position:absolute;left:0;text-align:left;margin-left:49.65pt;margin-top:6.8pt;width:463pt;height:22.7pt;z-index:251815424;mso-width-relative:margin;mso-height-relative:margin" fillcolor="#d8d8d8" strokecolor="white">
            <v:textbox style="mso-next-textbox:#_x0000_s1378">
              <w:txbxContent>
                <w:p w:rsidR="00E92D98" w:rsidRPr="0050347A" w:rsidRDefault="00E92D98" w:rsidP="0047545A">
                  <w:pPr>
                    <w:spacing w:before="60"/>
                    <w:rPr>
                      <w:color w:val="E36C0A"/>
                      <w:sz w:val="16"/>
                      <w:szCs w:val="16"/>
                    </w:rPr>
                  </w:pPr>
                  <w:r>
                    <w:rPr>
                      <w:rFonts w:ascii="Arial" w:hAnsi="Arial" w:cs="Arial"/>
                      <w:b/>
                      <w:bCs/>
                      <w:color w:val="E36C0A"/>
                      <w:sz w:val="18"/>
                      <w:szCs w:val="18"/>
                    </w:rPr>
                    <w:t xml:space="preserve">                                                                                                                                </w:t>
                  </w:r>
                  <w:r w:rsidRPr="0050347A">
                    <w:rPr>
                      <w:rFonts w:ascii="Arial" w:hAnsi="Arial" w:cs="Arial"/>
                      <w:b/>
                      <w:bCs/>
                      <w:color w:val="E36C0A"/>
                      <w:sz w:val="16"/>
                      <w:szCs w:val="16"/>
                    </w:rPr>
                    <w:t>Comentário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Pr="00190436" w:rsidRDefault="008E0DDB" w:rsidP="0047545A">
      <w:pPr>
        <w:jc w:val="both"/>
        <w:rPr>
          <w:rFonts w:ascii="Arial" w:hAnsi="Arial" w:cs="Arial"/>
          <w:b/>
          <w:bCs/>
          <w:color w:val="943634"/>
          <w:sz w:val="20"/>
          <w:szCs w:val="20"/>
        </w:rPr>
      </w:pPr>
      <w:r>
        <w:rPr>
          <w:rFonts w:ascii="Arial" w:hAnsi="Arial" w:cs="Arial"/>
          <w:b/>
          <w:bCs/>
          <w:noProof/>
          <w:color w:val="943634"/>
          <w:sz w:val="20"/>
          <w:szCs w:val="20"/>
          <w:lang w:eastAsia="en-US"/>
        </w:rPr>
        <w:pict>
          <v:shape id="_x0000_s1312" type="#_x0000_t202" style="position:absolute;left:0;text-align:left;margin-left:-21pt;margin-top:.35pt;width:55.9pt;height:225.65pt;z-index:251747840;mso-width-relative:margin;mso-height-relative:margin" fillcolor="#ff6" strokecolor="#f2f2f2">
            <v:textbox style="layout-flow:vertical;mso-layout-flow-alt:bottom-to-top;mso-next-textbox:#_x0000_s1312">
              <w:txbxContent>
                <w:p w:rsidR="00E92D98" w:rsidRPr="001107A4" w:rsidRDefault="00E92D98" w:rsidP="0047545A">
                  <w:pPr>
                    <w:spacing w:before="120"/>
                    <w:jc w:val="center"/>
                    <w:rPr>
                      <w:rFonts w:ascii="Arial" w:hAnsi="Arial" w:cs="Arial"/>
                      <w:b/>
                      <w:sz w:val="18"/>
                      <w:szCs w:val="18"/>
                    </w:rPr>
                  </w:pPr>
                  <w:r w:rsidRPr="001107A4">
                    <w:rPr>
                      <w:rFonts w:ascii="Arial" w:hAnsi="Arial" w:cs="Arial"/>
                      <w:b/>
                      <w:sz w:val="18"/>
                      <w:szCs w:val="18"/>
                    </w:rPr>
                    <w:t>E.06-A - Índice de Atendimento de água (%)</w:t>
                  </w:r>
                </w:p>
              </w:txbxContent>
            </v:textbox>
          </v:shape>
        </w:pict>
      </w:r>
      <w:r w:rsidRPr="008E0DDB">
        <w:rPr>
          <w:rFonts w:ascii="Arial" w:hAnsi="Arial" w:cs="Arial"/>
          <w:b/>
          <w:noProof/>
          <w:sz w:val="20"/>
          <w:szCs w:val="20"/>
        </w:rPr>
        <w:pict>
          <v:shape id="_x0000_s1379" type="#_x0000_t202" style="position:absolute;left:0;text-align:left;margin-left:49.9pt;margin-top:2.3pt;width:55.85pt;height:223.7pt;z-index:251816448;mso-width-relative:margin;mso-height-relative:margin" fillcolor="#cfc" strokecolor="white">
            <v:textbox style="mso-next-textbox:#_x0000_s1379">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15339" cy="534390"/>
                        <wp:effectExtent l="19050" t="0" r="0" b="0"/>
                        <wp:docPr id="15"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92,00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txbxContent>
            </v:textbox>
          </v:shape>
        </w:pict>
      </w:r>
      <w:r w:rsidRPr="008E0DDB">
        <w:rPr>
          <w:rFonts w:ascii="Arial" w:hAnsi="Arial" w:cs="Arial"/>
          <w:b/>
          <w:noProof/>
          <w:sz w:val="20"/>
          <w:szCs w:val="20"/>
        </w:rPr>
        <w:pict>
          <v:shape id="_x0000_s1380" type="#_x0000_t202" style="position:absolute;left:0;text-align:left;margin-left:110.6pt;margin-top:2.3pt;width:55.85pt;height:223.7pt;z-index:251817472;mso-width-relative:margin;mso-height-relative:margin" fillcolor="#cfc" strokecolor="white">
            <v:textbox style="mso-next-textbox:#_x0000_s1380">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272ED2">
                    <w:rPr>
                      <w:rFonts w:ascii="Arial" w:hAnsi="Arial" w:cs="Arial"/>
                      <w:b/>
                      <w:noProof/>
                      <w:sz w:val="18"/>
                      <w:szCs w:val="18"/>
                    </w:rPr>
                    <w:drawing>
                      <wp:inline distT="0" distB="0" distL="0" distR="0">
                        <wp:extent cx="515339" cy="534390"/>
                        <wp:effectExtent l="19050" t="0" r="0" b="0"/>
                        <wp:docPr id="43489416"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93,00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252C84" w:rsidRDefault="00E92D98" w:rsidP="0047545A"/>
              </w:txbxContent>
            </v:textbox>
          </v:shape>
        </w:pict>
      </w:r>
      <w:r w:rsidRPr="008E0DDB">
        <w:rPr>
          <w:rFonts w:ascii="Arial" w:hAnsi="Arial" w:cs="Arial"/>
          <w:b/>
          <w:noProof/>
          <w:sz w:val="20"/>
          <w:szCs w:val="20"/>
        </w:rPr>
        <w:pict>
          <v:shape id="_x0000_s1381" type="#_x0000_t202" style="position:absolute;left:0;text-align:left;margin-left:171.3pt;margin-top:2.3pt;width:55.85pt;height:223.7pt;z-index:251818496;mso-width-relative:margin;mso-height-relative:margin" fillcolor="#cfc" strokecolor="white">
            <v:textbox style="mso-next-textbox:#_x0000_s1381">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272ED2">
                    <w:rPr>
                      <w:rFonts w:ascii="Arial" w:hAnsi="Arial" w:cs="Arial"/>
                      <w:b/>
                      <w:noProof/>
                      <w:sz w:val="18"/>
                      <w:szCs w:val="18"/>
                    </w:rPr>
                    <w:drawing>
                      <wp:inline distT="0" distB="0" distL="0" distR="0">
                        <wp:extent cx="515339" cy="534390"/>
                        <wp:effectExtent l="19050" t="0" r="0" b="0"/>
                        <wp:docPr id="43489417"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92,00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252C84" w:rsidRDefault="00E92D98" w:rsidP="0047545A"/>
              </w:txbxContent>
            </v:textbox>
          </v:shape>
        </w:pict>
      </w:r>
      <w:r w:rsidRPr="008E0DDB">
        <w:rPr>
          <w:rFonts w:ascii="Arial" w:hAnsi="Arial" w:cs="Arial"/>
          <w:b/>
          <w:noProof/>
          <w:sz w:val="20"/>
          <w:szCs w:val="20"/>
        </w:rPr>
        <w:pict>
          <v:shape id="_x0000_s1382" type="#_x0000_t202" style="position:absolute;left:0;text-align:left;margin-left:234.6pt;margin-top:.35pt;width:55.85pt;height:225.65pt;z-index:251819520;mso-width-relative:margin;mso-height-relative:margin" fillcolor="#cfc" strokecolor="white">
            <v:textbox style="mso-next-textbox:#_x0000_s1382">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272ED2">
                    <w:rPr>
                      <w:rFonts w:ascii="Arial" w:hAnsi="Arial" w:cs="Arial"/>
                      <w:b/>
                      <w:noProof/>
                      <w:sz w:val="18"/>
                      <w:szCs w:val="18"/>
                    </w:rPr>
                    <w:drawing>
                      <wp:inline distT="0" distB="0" distL="0" distR="0">
                        <wp:extent cx="515339" cy="534390"/>
                        <wp:effectExtent l="19050" t="0" r="0" b="0"/>
                        <wp:docPr id="43489418"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91,80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txbxContent>
            </v:textbox>
          </v:shape>
        </w:pict>
      </w:r>
      <w:r w:rsidRPr="008E0DDB">
        <w:rPr>
          <w:rFonts w:ascii="Arial" w:hAnsi="Arial" w:cs="Arial"/>
          <w:b/>
          <w:noProof/>
          <w:sz w:val="20"/>
          <w:szCs w:val="20"/>
        </w:rPr>
        <w:pict>
          <v:shape id="_x0000_s1313" type="#_x0000_t202" style="position:absolute;left:0;text-align:left;margin-left:310.8pt;margin-top:.35pt;width:198.85pt;height:225.65pt;z-index:251748864;mso-width-relative:margin;mso-height-relative:margin" strokecolor="#f2f2f2">
            <v:textbox style="mso-next-textbox:#_x0000_s1313">
              <w:txbxContent>
                <w:p w:rsidR="00E92D98" w:rsidRPr="001107A4" w:rsidRDefault="00E92D98" w:rsidP="0047545A">
                  <w:pPr>
                    <w:spacing w:line="240" w:lineRule="atLeast"/>
                    <w:jc w:val="center"/>
                    <w:rPr>
                      <w:rFonts w:ascii="Arial" w:hAnsi="Arial" w:cs="Arial"/>
                      <w:sz w:val="16"/>
                      <w:szCs w:val="16"/>
                    </w:rPr>
                  </w:pPr>
                  <w:r w:rsidRPr="001107A4">
                    <w:rPr>
                      <w:rFonts w:ascii="Arial" w:hAnsi="Arial" w:cs="Arial"/>
                      <w:sz w:val="16"/>
                      <w:szCs w:val="16"/>
                    </w:rPr>
                    <w:t>O índice de atendimento de água é adotado como "BOM" para valores maiores que 90%, a UGRHI 8 se mantém dentro deste parâmetro, em 2010 com 91,80%. Salientando que os municípios de Guará, Ipuã e Nuporanga, evidenciaram índice de 100%. (SNIS 2009). Ressalta-se que a tendência de redução do percentual de atendimento não reflete a realidade, uma vez, que o  cálculo é obtido pela População total atendida com abastecimento público / população total do município</w:t>
                  </w:r>
                </w:p>
                <w:p w:rsidR="00E92D98" w:rsidRPr="001107A4" w:rsidRDefault="00E92D98" w:rsidP="0047545A">
                  <w:pPr>
                    <w:spacing w:line="240" w:lineRule="atLeast"/>
                    <w:jc w:val="center"/>
                    <w:rPr>
                      <w:rFonts w:ascii="Arial" w:hAnsi="Arial" w:cs="Arial"/>
                      <w:sz w:val="16"/>
                      <w:szCs w:val="16"/>
                    </w:rPr>
                  </w:pPr>
                  <w:r w:rsidRPr="001107A4">
                    <w:rPr>
                      <w:rFonts w:ascii="Arial" w:hAnsi="Arial" w:cs="Arial"/>
                      <w:sz w:val="16"/>
                      <w:szCs w:val="16"/>
                    </w:rPr>
                    <w:t>atendida com abastecimento, ai inclusa a população rural que tem fonte própria de água.  Ponto crítico os municípios que não forneceram dados: Aramina, Batatais e Cristais Paulista. Restinga apresentou o menor índice (69%) da bacia, entretanto, entende-se que este índice refere-se a população rural, poi</w:t>
                  </w:r>
                  <w:r>
                    <w:rPr>
                      <w:rFonts w:ascii="Arial" w:hAnsi="Arial" w:cs="Arial"/>
                      <w:sz w:val="16"/>
                      <w:szCs w:val="16"/>
                    </w:rPr>
                    <w:t>s</w:t>
                  </w:r>
                  <w:r w:rsidRPr="001107A4">
                    <w:rPr>
                      <w:rFonts w:ascii="Arial" w:hAnsi="Arial" w:cs="Arial"/>
                      <w:sz w:val="16"/>
                      <w:szCs w:val="16"/>
                    </w:rPr>
                    <w:t xml:space="preserve"> a população urbana é atendida pelo município de Franca.</w:t>
                  </w:r>
                </w:p>
              </w:txbxContent>
            </v:textbox>
          </v:shape>
        </w:pict>
      </w: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272ED2" w:rsidRDefault="00272ED2" w:rsidP="0047545A">
      <w:pPr>
        <w:pStyle w:val="Corpodetexto"/>
        <w:spacing w:line="360" w:lineRule="auto"/>
        <w:rPr>
          <w:rFonts w:ascii="Arial" w:hAnsi="Arial" w:cs="Arial"/>
          <w:b/>
          <w:noProof/>
          <w:sz w:val="20"/>
          <w:szCs w:val="20"/>
        </w:rPr>
      </w:pPr>
    </w:p>
    <w:p w:rsidR="00272ED2" w:rsidRDefault="00272ED2"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84" type="#_x0000_t202" style="position:absolute;left:0;text-align:left;margin-left:49.65pt;margin-top:.25pt;width:460pt;height:93.5pt;z-index:251821568;mso-width-relative:margin;mso-height-relative:margin" strokecolor="#f2f2f2">
            <v:textbox style="mso-next-textbox:#_x0000_s1384">
              <w:txbxContent>
                <w:p w:rsidR="00E92D98" w:rsidRPr="00155407" w:rsidRDefault="00E92D98" w:rsidP="00155407">
                  <w:pPr>
                    <w:spacing w:line="300" w:lineRule="atLeast"/>
                    <w:jc w:val="center"/>
                    <w:rPr>
                      <w:b/>
                    </w:rPr>
                  </w:pPr>
                  <w:r w:rsidRPr="00C03A44">
                    <w:rPr>
                      <w:rFonts w:ascii="Arial" w:hAnsi="Arial" w:cs="Arial"/>
                      <w:sz w:val="16"/>
                      <w:szCs w:val="16"/>
                    </w:rPr>
                    <w:t xml:space="preserve">Quatorze municípios da bacia apresentaram índice &gt;10%  e &lt;50%, que podem ser classificados como "REGULAR". Três municípios classificaram-se como "BOM":  São José da Bela Vista (60,6%), São Joaquim da Barra (59,2%) e Nuporanga (65,6%).  Aramina, Batatais, Cristais Paulista, Ipuã e Santo Antônio da Alegria não forneceram os dados (SNIS-2009). Observa-se que municípios sem macromedição, onde as informações são aproximadas, apresentam resultados não realistas. </w:t>
                  </w:r>
                  <w:r w:rsidRPr="00155407">
                    <w:rPr>
                      <w:rFonts w:ascii="Arial" w:hAnsi="Arial" w:cs="Arial"/>
                      <w:b/>
                      <w:sz w:val="16"/>
                      <w:szCs w:val="16"/>
                    </w:rPr>
                    <w:t>Sugere-se para a gestão investimentos no sistema de distribuição, em micromedição e macromedição.</w:t>
                  </w:r>
                </w:p>
              </w:txbxContent>
            </v:textbox>
          </v:shape>
        </w:pict>
      </w:r>
      <w:r>
        <w:rPr>
          <w:rFonts w:ascii="Arial" w:hAnsi="Arial" w:cs="Arial"/>
          <w:b/>
          <w:noProof/>
          <w:sz w:val="20"/>
          <w:szCs w:val="20"/>
        </w:rPr>
        <w:pict>
          <v:shape id="_x0000_s1383" type="#_x0000_t202" style="position:absolute;left:0;text-align:left;margin-left:-21.25pt;margin-top:.25pt;width:55.9pt;height:119.75pt;z-index:251820544;mso-width-relative:margin;mso-height-relative:margin" fillcolor="#ff6" strokecolor="#f2f2f2">
            <v:textbox style="layout-flow:vertical;mso-layout-flow-alt:bottom-to-top;mso-next-textbox:#_x0000_s1383">
              <w:txbxContent>
                <w:p w:rsidR="00E92D98" w:rsidRPr="00C03A44" w:rsidRDefault="00E92D98" w:rsidP="0047545A">
                  <w:pPr>
                    <w:spacing w:line="240" w:lineRule="atLeast"/>
                    <w:jc w:val="center"/>
                    <w:rPr>
                      <w:szCs w:val="16"/>
                    </w:rPr>
                  </w:pPr>
                  <w:r w:rsidRPr="00C03A44">
                    <w:rPr>
                      <w:rFonts w:ascii="Arial" w:hAnsi="Arial" w:cs="Arial"/>
                      <w:b/>
                      <w:sz w:val="18"/>
                      <w:szCs w:val="18"/>
                    </w:rPr>
                    <w:t>E.06-D - Índice de perdas do sistema de distribuição de água: %</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86" type="#_x0000_t202" style="position:absolute;left:0;text-align:left;margin-left:-21.5pt;margin-top:-3.65pt;width:530.9pt;height:20.2pt;z-index:251823616;mso-width-relative:margin;mso-height-relative:margin" fillcolor="#d8d8d8" strokecolor="white">
            <v:textbox style="mso-next-textbox:#_x0000_s1386">
              <w:txbxContent>
                <w:p w:rsidR="00E92D98" w:rsidRPr="0050347A" w:rsidRDefault="00E92D98" w:rsidP="0047545A">
                  <w:pPr>
                    <w:jc w:val="center"/>
                    <w:rPr>
                      <w:rFonts w:ascii="Arial" w:hAnsi="Arial" w:cs="Arial"/>
                      <w:b/>
                      <w:bCs/>
                      <w:color w:val="E36C0A"/>
                      <w:sz w:val="20"/>
                      <w:szCs w:val="20"/>
                    </w:rPr>
                  </w:pPr>
                  <w:r w:rsidRPr="0050347A">
                    <w:rPr>
                      <w:rFonts w:ascii="Arial" w:hAnsi="Arial" w:cs="Arial"/>
                      <w:b/>
                      <w:bCs/>
                      <w:color w:val="E36C0A"/>
                      <w:sz w:val="20"/>
                      <w:szCs w:val="20"/>
                    </w:rPr>
                    <w:t xml:space="preserve">ESTADO: </w:t>
                  </w:r>
                  <w:r>
                    <w:rPr>
                      <w:rFonts w:ascii="Arial" w:hAnsi="Arial" w:cs="Arial"/>
                      <w:b/>
                      <w:bCs/>
                      <w:color w:val="E36C0A"/>
                      <w:sz w:val="20"/>
                      <w:szCs w:val="20"/>
                    </w:rPr>
                    <w:t>Disponibi</w:t>
                  </w:r>
                  <w:r w:rsidRPr="0050347A">
                    <w:rPr>
                      <w:rFonts w:ascii="Arial" w:hAnsi="Arial" w:cs="Arial"/>
                      <w:b/>
                      <w:bCs/>
                      <w:color w:val="E36C0A"/>
                      <w:sz w:val="20"/>
                      <w:szCs w:val="20"/>
                    </w:rPr>
                    <w:t>lidade das Águas</w:t>
                  </w:r>
                </w:p>
                <w:p w:rsidR="00E92D98" w:rsidRPr="00826C1D" w:rsidRDefault="00E92D98" w:rsidP="0047545A">
                  <w:pPr>
                    <w:rPr>
                      <w:szCs w:val="18"/>
                    </w:rPr>
                  </w:pPr>
                </w:p>
              </w:txbxContent>
            </v:textbox>
          </v:shape>
        </w:pict>
      </w:r>
      <w:r>
        <w:rPr>
          <w:rFonts w:ascii="Arial" w:hAnsi="Arial" w:cs="Arial"/>
          <w:b/>
          <w:noProof/>
          <w:sz w:val="20"/>
          <w:szCs w:val="20"/>
        </w:rPr>
        <w:pict>
          <v:shape id="_x0000_s1385" type="#_x0000_t202" style="position:absolute;left:0;text-align:left;margin-left:-21.5pt;margin-top:23pt;width:55.9pt;height:27.85pt;z-index:251822592;mso-width-relative:margin;mso-height-relative:margin" fillcolor="#d8d8d8" strokecolor="white">
            <v:textbox style="mso-next-textbox:#_x0000_s1385">
              <w:txbxContent>
                <w:p w:rsidR="00E92D98" w:rsidRPr="0050347A" w:rsidRDefault="00E92D98" w:rsidP="0047545A">
                  <w:pPr>
                    <w:spacing w:before="40"/>
                    <w:rPr>
                      <w:color w:val="E36C0A"/>
                      <w:sz w:val="16"/>
                      <w:szCs w:val="16"/>
                    </w:rPr>
                  </w:pPr>
                  <w:r w:rsidRPr="0050347A">
                    <w:rPr>
                      <w:rFonts w:ascii="Arial" w:hAnsi="Arial" w:cs="Arial"/>
                      <w:b/>
                      <w:bCs/>
                      <w:color w:val="E36C0A"/>
                      <w:sz w:val="16"/>
                      <w:szCs w:val="16"/>
                    </w:rPr>
                    <w:t>Grandeza/ Parâmetro</w:t>
                  </w:r>
                </w:p>
              </w:txbxContent>
            </v:textbox>
          </v:shape>
        </w:pict>
      </w:r>
      <w:r>
        <w:rPr>
          <w:rFonts w:ascii="Arial" w:hAnsi="Arial" w:cs="Arial"/>
          <w:b/>
          <w:noProof/>
          <w:sz w:val="20"/>
          <w:szCs w:val="20"/>
        </w:rPr>
        <w:pict>
          <v:shape id="_x0000_s1387" type="#_x0000_t202" style="position:absolute;left:0;text-align:left;margin-left:46.4pt;margin-top:23pt;width:463pt;height:27.85pt;z-index:251824640;mso-width-relative:margin;mso-height-relative:margin" fillcolor="#d8d8d8" strokecolor="white">
            <v:textbox style="mso-next-textbox:#_x0000_s1387">
              <w:txbxContent>
                <w:p w:rsidR="00E92D98" w:rsidRPr="0050347A" w:rsidRDefault="00E92D98" w:rsidP="0047545A">
                  <w:pPr>
                    <w:spacing w:before="60"/>
                    <w:rPr>
                      <w:color w:val="E36C0A"/>
                      <w:sz w:val="16"/>
                      <w:szCs w:val="16"/>
                    </w:rPr>
                  </w:pPr>
                  <w:r w:rsidRPr="0050347A">
                    <w:rPr>
                      <w:rFonts w:ascii="Arial" w:hAnsi="Arial" w:cs="Arial"/>
                      <w:b/>
                      <w:bCs/>
                      <w:color w:val="E36C0A"/>
                      <w:sz w:val="18"/>
                      <w:szCs w:val="18"/>
                    </w:rPr>
                    <w:t xml:space="preserve">                           </w:t>
                  </w:r>
                  <w:r w:rsidRPr="0050347A">
                    <w:rPr>
                      <w:rFonts w:ascii="Arial" w:hAnsi="Arial" w:cs="Arial"/>
                      <w:b/>
                      <w:bCs/>
                      <w:color w:val="E36C0A"/>
                      <w:sz w:val="16"/>
                      <w:szCs w:val="16"/>
                    </w:rPr>
                    <w:t xml:space="preserve">Apresentação dos dados </w:t>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r>
                  <w:r w:rsidRPr="0050347A">
                    <w:rPr>
                      <w:rFonts w:ascii="Arial" w:hAnsi="Arial" w:cs="Arial"/>
                      <w:b/>
                      <w:bCs/>
                      <w:color w:val="E36C0A"/>
                      <w:sz w:val="16"/>
                      <w:szCs w:val="16"/>
                    </w:rPr>
                    <w:tab/>
                    <w:t>Comentário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88" type="#_x0000_t202" style="position:absolute;left:0;text-align:left;margin-left:46.4pt;margin-top:5.5pt;width:240.35pt;height:27.85pt;z-index:251825664;mso-width-relative:margin;mso-height-relative:margin" fillcolor="#d8d8d8" strokecolor="white">
            <v:textbox style="mso-next-textbox:#_x0000_s1388">
              <w:txbxContent>
                <w:p w:rsidR="00E92D98" w:rsidRPr="00023D8E" w:rsidRDefault="00E92D98" w:rsidP="0047545A">
                  <w:pPr>
                    <w:spacing w:before="60"/>
                    <w:rPr>
                      <w:color w:val="E36C0A"/>
                      <w:sz w:val="18"/>
                      <w:szCs w:val="18"/>
                    </w:rPr>
                  </w:pPr>
                  <w:r>
                    <w:rPr>
                      <w:rFonts w:ascii="Arial" w:hAnsi="Arial" w:cs="Arial"/>
                      <w:b/>
                      <w:bCs/>
                      <w:color w:val="E36C0A"/>
                      <w:sz w:val="16"/>
                      <w:szCs w:val="16"/>
                    </w:rPr>
                    <w:t xml:space="preserve">      </w:t>
                  </w:r>
                  <w:r w:rsidRPr="00023D8E">
                    <w:rPr>
                      <w:rFonts w:ascii="Arial" w:hAnsi="Arial" w:cs="Arial"/>
                      <w:b/>
                      <w:bCs/>
                      <w:color w:val="E36C0A"/>
                      <w:sz w:val="18"/>
                      <w:szCs w:val="18"/>
                    </w:rPr>
                    <w:t>2007</w:t>
                  </w:r>
                  <w:r w:rsidRPr="00023D8E">
                    <w:rPr>
                      <w:rFonts w:ascii="Arial" w:hAnsi="Arial" w:cs="Arial"/>
                      <w:b/>
                      <w:bCs/>
                      <w:color w:val="E36C0A"/>
                      <w:sz w:val="18"/>
                      <w:szCs w:val="18"/>
                    </w:rPr>
                    <w:tab/>
                  </w:r>
                  <w:r>
                    <w:rPr>
                      <w:rFonts w:ascii="Arial" w:hAnsi="Arial" w:cs="Arial"/>
                      <w:b/>
                      <w:bCs/>
                      <w:color w:val="E36C0A"/>
                      <w:sz w:val="18"/>
                      <w:szCs w:val="18"/>
                    </w:rPr>
                    <w:t xml:space="preserve">                2008               2009                 2010</w:t>
                  </w:r>
                  <w:r w:rsidRPr="00023D8E">
                    <w:rPr>
                      <w:rFonts w:ascii="Arial" w:hAnsi="Arial" w:cs="Arial"/>
                      <w:b/>
                      <w:bCs/>
                      <w:color w:val="E36C0A"/>
                      <w:sz w:val="18"/>
                      <w:szCs w:val="18"/>
                    </w:rPr>
                    <w:tab/>
                  </w:r>
                  <w:r w:rsidRPr="00023D8E">
                    <w:rPr>
                      <w:rFonts w:ascii="Arial" w:hAnsi="Arial" w:cs="Arial"/>
                      <w:b/>
                      <w:bCs/>
                      <w:color w:val="E36C0A"/>
                      <w:sz w:val="18"/>
                      <w:szCs w:val="18"/>
                    </w:rPr>
                    <w:tab/>
                  </w:r>
                  <w:r w:rsidRPr="00023D8E">
                    <w:rPr>
                      <w:rFonts w:ascii="Arial" w:hAnsi="Arial" w:cs="Arial"/>
                      <w:b/>
                      <w:bCs/>
                      <w:color w:val="E36C0A"/>
                      <w:sz w:val="18"/>
                      <w:szCs w:val="18"/>
                    </w:rPr>
                    <w:tab/>
                  </w:r>
                  <w:r w:rsidRPr="00023D8E">
                    <w:rPr>
                      <w:rFonts w:ascii="Arial" w:hAnsi="Arial" w:cs="Arial"/>
                      <w:b/>
                      <w:bCs/>
                      <w:color w:val="E36C0A"/>
                      <w:sz w:val="18"/>
                      <w:szCs w:val="18"/>
                    </w:rPr>
                    <w:tab/>
                  </w:r>
                </w:p>
              </w:txbxContent>
            </v:textbox>
          </v:shape>
        </w:pic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15" type="#_x0000_t202" style="position:absolute;left:0;text-align:left;margin-left:295.3pt;margin-top:16.1pt;width:214.1pt;height:104.65pt;z-index:251750912;mso-width-relative:margin;mso-height-relative:margin" fillcolor="#fabf8f" strokecolor="#f2f2f2">
            <v:textbox style="mso-next-textbox:#_x0000_s1315">
              <w:txbxContent>
                <w:p w:rsidR="00E92D98" w:rsidRPr="006A3CDA" w:rsidRDefault="00E92D98" w:rsidP="0047545A">
                  <w:pPr>
                    <w:spacing w:line="240" w:lineRule="atLeast"/>
                    <w:jc w:val="center"/>
                    <w:rPr>
                      <w:rFonts w:ascii="Arial" w:hAnsi="Arial" w:cs="Arial"/>
                      <w:sz w:val="16"/>
                      <w:szCs w:val="16"/>
                    </w:rPr>
                  </w:pPr>
                  <w:r w:rsidRPr="006A3CDA">
                    <w:rPr>
                      <w:rFonts w:ascii="Arial" w:hAnsi="Arial" w:cs="Arial"/>
                      <w:sz w:val="16"/>
                      <w:szCs w:val="16"/>
                    </w:rPr>
                    <w:t>Mesmo com maior exigência dos órgão  ambientais neste último ano o percentual da Bacia dos Rios Sapucaí-</w:t>
                  </w:r>
                  <w:r>
                    <w:rPr>
                      <w:rFonts w:ascii="Arial" w:hAnsi="Arial" w:cs="Arial"/>
                      <w:sz w:val="16"/>
                      <w:szCs w:val="16"/>
                    </w:rPr>
                    <w:t xml:space="preserve"> </w:t>
                  </w:r>
                  <w:r w:rsidRPr="006A3CDA">
                    <w:rPr>
                      <w:rFonts w:ascii="Arial" w:hAnsi="Arial" w:cs="Arial"/>
                      <w:sz w:val="16"/>
                      <w:szCs w:val="16"/>
                    </w:rPr>
                    <w:t>Mirim/Grande (Q95%) caiu de 11% para 10,53%, porém ainda é necessário trabalho em torno deste tema,pois dois municípios da bacia ainda tem a porcentagem que merece atenção, que são os municípios de Jeriquara (32,25%) e Guaíra (37,43%). (DAEE 2010)</w:t>
                  </w:r>
                </w:p>
              </w:txbxContent>
            </v:textbox>
          </v:shape>
        </w:pict>
      </w:r>
      <w:r>
        <w:rPr>
          <w:rFonts w:ascii="Arial" w:hAnsi="Arial" w:cs="Arial"/>
          <w:b/>
          <w:noProof/>
          <w:sz w:val="20"/>
          <w:szCs w:val="20"/>
        </w:rPr>
        <w:pict>
          <v:shape id="_x0000_s1389" type="#_x0000_t202" style="position:absolute;left:0;text-align:left;margin-left:46.4pt;margin-top:16.1pt;width:55.85pt;height:104.65pt;z-index:251826688;mso-width-relative:margin;mso-height-relative:margin" fillcolor="#cfc" strokecolor="white">
            <v:textbox style="mso-next-textbox:#_x0000_s1389">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19"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10,00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390" type="#_x0000_t202" style="position:absolute;left:0;text-align:left;margin-left:107.1pt;margin-top:16.1pt;width:55.85pt;height:104.65pt;z-index:251827712;mso-width-relative:margin;mso-height-relative:margin" fillcolor="#cfc" strokecolor="white">
            <v:textbox style="mso-next-textbox:#_x0000_s1390">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1"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11,00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391" type="#_x0000_t202" style="position:absolute;left:0;text-align:left;margin-left:167.8pt;margin-top:16.1pt;width:55.85pt;height:104.65pt;z-index:251828736;mso-width-relative:margin;mso-height-relative:margin" fillcolor="#cfc" strokecolor="white">
            <v:textbox style="mso-next-textbox:#_x0000_s1391">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2"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11,00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392" type="#_x0000_t202" style="position:absolute;left:0;text-align:left;margin-left:230.9pt;margin-top:16.1pt;width:55.85pt;height:104.65pt;z-index:251829760;mso-width-relative:margin;mso-height-relative:margin" fillcolor="#cfc" strokecolor="white">
            <v:textbox style="mso-next-textbox:#_x0000_s1392">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3"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10,53</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314" type="#_x0000_t202" style="position:absolute;left:0;text-align:left;margin-left:-21.5pt;margin-top:16.1pt;width:55.9pt;height:104.65pt;z-index:251749888;mso-width-relative:margin;mso-height-relative:margin" fillcolor="#ff6" strokecolor="#f2f2f2">
            <v:textbox style="layout-flow:vertical;mso-layout-flow-alt:bottom-to-top;mso-next-textbox:#_x0000_s1314">
              <w:txbxContent>
                <w:p w:rsidR="00E92D98" w:rsidRPr="006A3CDA" w:rsidRDefault="00E92D98" w:rsidP="0047545A">
                  <w:pPr>
                    <w:jc w:val="center"/>
                    <w:rPr>
                      <w:rFonts w:ascii="Arial" w:hAnsi="Arial" w:cs="Arial"/>
                      <w:b/>
                      <w:sz w:val="18"/>
                      <w:szCs w:val="18"/>
                    </w:rPr>
                  </w:pPr>
                  <w:r w:rsidRPr="006A3CDA">
                    <w:rPr>
                      <w:rFonts w:ascii="Arial" w:hAnsi="Arial" w:cs="Arial"/>
                      <w:b/>
                      <w:sz w:val="18"/>
                      <w:szCs w:val="18"/>
                    </w:rPr>
                    <w:t>E.07-A Demanda total (superficial e subterrânea) em relação ao Q95 (%)</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17" type="#_x0000_t202" style="position:absolute;left:0;text-align:left;margin-left:295.3pt;margin-top:12.55pt;width:214.1pt;height:95.45pt;z-index:251752960;mso-width-relative:margin;mso-height-relative:margin" fillcolor="#fabf8f" strokecolor="#f2f2f2">
            <v:textbox style="mso-next-textbox:#_x0000_s1317">
              <w:txbxContent>
                <w:p w:rsidR="00E92D98" w:rsidRPr="00BF4BD3" w:rsidRDefault="00E92D98" w:rsidP="0047545A">
                  <w:pPr>
                    <w:spacing w:line="240" w:lineRule="atLeast"/>
                    <w:jc w:val="center"/>
                    <w:rPr>
                      <w:rFonts w:ascii="Arial" w:hAnsi="Arial" w:cs="Arial"/>
                      <w:b/>
                      <w:sz w:val="16"/>
                      <w:szCs w:val="16"/>
                    </w:rPr>
                  </w:pPr>
                  <w:r w:rsidRPr="006A3CDA">
                    <w:rPr>
                      <w:rFonts w:ascii="Arial" w:hAnsi="Arial" w:cs="Arial"/>
                      <w:sz w:val="16"/>
                      <w:szCs w:val="16"/>
                    </w:rPr>
                    <w:t xml:space="preserve">A demanda total (urbana, industrial, rural e outros) teve um leve aumento, consumindo em 2010, 3,13% da Qmédia da UGRHI 08, classificando -se como "BOA". </w:t>
                  </w:r>
                  <w:r w:rsidRPr="00BF4BD3">
                    <w:rPr>
                      <w:rFonts w:ascii="Arial" w:hAnsi="Arial" w:cs="Arial"/>
                      <w:b/>
                      <w:sz w:val="16"/>
                      <w:szCs w:val="16"/>
                    </w:rPr>
                    <w:t>Sugere-se para a gestão o aprimoramento dos parâmetros hidrológicos utilizados na metodologia para cálculo da vazão máxima, média e mínima.</w:t>
                  </w:r>
                </w:p>
              </w:txbxContent>
            </v:textbox>
          </v:shape>
        </w:pict>
      </w:r>
      <w:r>
        <w:rPr>
          <w:rFonts w:ascii="Arial" w:hAnsi="Arial" w:cs="Arial"/>
          <w:b/>
          <w:noProof/>
          <w:sz w:val="20"/>
          <w:szCs w:val="20"/>
        </w:rPr>
        <w:pict>
          <v:shape id="_x0000_s1396" type="#_x0000_t202" style="position:absolute;left:0;text-align:left;margin-left:230.9pt;margin-top:12.55pt;width:55.85pt;height:95.45pt;z-index:251833856;mso-width-relative:margin;mso-height-relative:margin" fillcolor="#cfc" strokecolor="white">
            <v:textbox style="mso-next-textbox:#_x0000_s1396">
              <w:txbxContent>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4"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3,13</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395" type="#_x0000_t202" style="position:absolute;left:0;text-align:left;margin-left:167.8pt;margin-top:12.55pt;width:55.85pt;height:95.45pt;z-index:251832832;mso-width-relative:margin;mso-height-relative:margin" fillcolor="#cfc" strokecolor="white">
            <v:textbox style="mso-next-textbox:#_x0000_s1395">
              <w:txbxContent>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5"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3,00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394" type="#_x0000_t202" style="position:absolute;left:0;text-align:left;margin-left:107.1pt;margin-top:12.55pt;width:55.85pt;height:95.45pt;z-index:251831808;mso-width-relative:margin;mso-height-relative:margin" fillcolor="#cfc" strokecolor="white">
            <v:textbox style="mso-next-textbox:#_x0000_s1394">
              <w:txbxContent>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6"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3,00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393" type="#_x0000_t202" style="position:absolute;left:0;text-align:left;margin-left:46.4pt;margin-top:12.55pt;width:55.85pt;height:95.45pt;z-index:251830784;mso-width-relative:margin;mso-height-relative:margin" fillcolor="#cfc" strokecolor="white">
            <v:textbox style="mso-next-textbox:#_x0000_s1393">
              <w:txbxContent>
                <w:p w:rsidR="00E92D98" w:rsidRDefault="00E92D98" w:rsidP="0047545A">
                  <w:pPr>
                    <w:jc w:val="center"/>
                    <w:rPr>
                      <w:rFonts w:ascii="Arial" w:hAnsi="Arial" w:cs="Arial"/>
                      <w:b/>
                      <w:sz w:val="18"/>
                      <w:szCs w:val="18"/>
                    </w:rPr>
                  </w:pPr>
                  <w:r w:rsidRPr="00155407">
                    <w:rPr>
                      <w:rFonts w:ascii="Arial" w:hAnsi="Arial" w:cs="Arial"/>
                      <w:b/>
                      <w:noProof/>
                      <w:sz w:val="18"/>
                      <w:szCs w:val="18"/>
                    </w:rPr>
                    <w:drawing>
                      <wp:inline distT="0" distB="0" distL="0" distR="0">
                        <wp:extent cx="515339" cy="534390"/>
                        <wp:effectExtent l="19050" t="0" r="0" b="0"/>
                        <wp:docPr id="43489427"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3,00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316" type="#_x0000_t202" style="position:absolute;left:0;text-align:left;margin-left:-21.5pt;margin-top:12.55pt;width:55.9pt;height:95.45pt;z-index:251751936;mso-width-relative:margin;mso-height-relative:margin" fillcolor="#ff6" strokecolor="#f2f2f2">
            <v:textbox style="layout-flow:vertical;mso-layout-flow-alt:bottom-to-top;mso-next-textbox:#_x0000_s1316">
              <w:txbxContent>
                <w:p w:rsidR="00E92D98" w:rsidRPr="006A3CDA" w:rsidRDefault="00E92D98" w:rsidP="0047545A">
                  <w:pPr>
                    <w:jc w:val="center"/>
                    <w:rPr>
                      <w:rFonts w:ascii="Arial" w:hAnsi="Arial" w:cs="Arial"/>
                      <w:b/>
                      <w:sz w:val="16"/>
                      <w:szCs w:val="16"/>
                    </w:rPr>
                  </w:pPr>
                  <w:r w:rsidRPr="006A3CDA">
                    <w:rPr>
                      <w:rFonts w:ascii="Arial" w:hAnsi="Arial" w:cs="Arial"/>
                      <w:b/>
                      <w:sz w:val="16"/>
                      <w:szCs w:val="16"/>
                    </w:rPr>
                    <w:t>E.07-B Demanda total (superficial e subterrânea) em relação ao Qmédio (%)</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18" type="#_x0000_t202" style="position:absolute;left:0;text-align:left;margin-left:-21.5pt;margin-top:3.15pt;width:55.9pt;height:103.85pt;z-index:251753984;mso-width-relative:margin;mso-height-relative:margin" fillcolor="#ff6" strokecolor="#f2f2f2">
            <v:textbox style="layout-flow:vertical;mso-layout-flow-alt:bottom-to-top;mso-next-textbox:#_x0000_s1318">
              <w:txbxContent>
                <w:p w:rsidR="00E92D98" w:rsidRPr="00D4732C" w:rsidRDefault="00E92D98" w:rsidP="0047545A">
                  <w:pPr>
                    <w:jc w:val="center"/>
                    <w:rPr>
                      <w:rFonts w:ascii="Arial" w:hAnsi="Arial" w:cs="Arial"/>
                      <w:b/>
                      <w:sz w:val="18"/>
                      <w:szCs w:val="18"/>
                    </w:rPr>
                  </w:pPr>
                  <w:r w:rsidRPr="00D4732C">
                    <w:rPr>
                      <w:rFonts w:ascii="Arial" w:hAnsi="Arial" w:cs="Arial"/>
                      <w:b/>
                      <w:sz w:val="18"/>
                      <w:szCs w:val="18"/>
                    </w:rPr>
                    <w:t>E.07-C Demanda superficial em relação a vazão mínima superifcial (Q7,10)  (%)</w:t>
                  </w:r>
                </w:p>
              </w:txbxContent>
            </v:textbox>
          </v:shape>
        </w:pict>
      </w:r>
      <w:r>
        <w:rPr>
          <w:rFonts w:ascii="Arial" w:hAnsi="Arial" w:cs="Arial"/>
          <w:b/>
          <w:noProof/>
          <w:sz w:val="20"/>
          <w:szCs w:val="20"/>
        </w:rPr>
        <w:pict>
          <v:shape id="_x0000_s1400" type="#_x0000_t202" style="position:absolute;left:0;text-align:left;margin-left:167.8pt;margin-top:3.15pt;width:55.85pt;height:95.45pt;z-index:251837952;mso-width-relative:margin;mso-height-relative:margin" fillcolor="#cfc" strokecolor="white">
            <v:textbox style="mso-next-textbox:#_x0000_s1400">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0"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15,00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399" type="#_x0000_t202" style="position:absolute;left:0;text-align:left;margin-left:107.1pt;margin-top:3.15pt;width:55.85pt;height:95.45pt;z-index:251836928;mso-width-relative:margin;mso-height-relative:margin" fillcolor="#cfc" strokecolor="white">
            <v:textbox style="mso-next-textbox:#_x0000_s1399">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29"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16,00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398" type="#_x0000_t202" style="position:absolute;left:0;text-align:left;margin-left:46.4pt;margin-top:3.15pt;width:55.85pt;height:95.45pt;z-index:251835904;mso-width-relative:margin;mso-height-relative:margin" fillcolor="#cfc" strokecolor="white">
            <v:textbox style="mso-next-textbox:#_x0000_s1398">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28"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15,00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01" type="#_x0000_t202" style="position:absolute;left:0;text-align:left;margin-left:230.9pt;margin-top:3.15pt;width:55.85pt;height:95.45pt;z-index:251838976;mso-width-relative:margin;mso-height-relative:margin" fillcolor="#cfc" strokecolor="white">
            <v:textbox style="mso-next-textbox:#_x0000_s1401">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1"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13,85</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319" type="#_x0000_t202" style="position:absolute;left:0;text-align:left;margin-left:295.3pt;margin-top:3.15pt;width:214.1pt;height:103.85pt;z-index:251755008;mso-width-relative:margin;mso-height-relative:margin" fillcolor="#cff" strokecolor="#f2f2f2">
            <v:textbox style="mso-next-textbox:#_x0000_s1319">
              <w:txbxContent>
                <w:p w:rsidR="00E92D98" w:rsidRPr="00791738" w:rsidRDefault="00E92D98" w:rsidP="0047545A">
                  <w:pPr>
                    <w:spacing w:line="240" w:lineRule="atLeast"/>
                    <w:jc w:val="center"/>
                    <w:rPr>
                      <w:rFonts w:ascii="Arial" w:hAnsi="Arial" w:cs="Arial"/>
                      <w:sz w:val="16"/>
                      <w:szCs w:val="16"/>
                    </w:rPr>
                  </w:pPr>
                  <w:r w:rsidRPr="00791738">
                    <w:rPr>
                      <w:rFonts w:ascii="Arial" w:hAnsi="Arial" w:cs="Arial"/>
                      <w:sz w:val="16"/>
                      <w:szCs w:val="16"/>
                    </w:rPr>
                    <w:t>Verificamos que houve um decréscimo de 2009 para 2010, que entendemos ser devido ao aumento da demanda subterrânea, observada pelo numero de outorgas concedidas e pela proporção de captação de água subterrânea em relação ao total. não justificável, entendemos que a tendência é o aumento percentual devido ao aumento de regularizações de usos dos recursos hídricos, uma vez que Q7,10 é constante.</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51" type="#_x0000_t202" style="position:absolute;left:0;text-align:left;margin-left:-21.5pt;margin-top:12.15pt;width:55.9pt;height:127pt;z-index:251787776;mso-width-relative:margin;mso-height-relative:margin" fillcolor="#ff6" strokecolor="#f2f2f2">
            <v:textbox style="layout-flow:vertical;mso-layout-flow-alt:bottom-to-top;mso-next-textbox:#_x0000_s1351">
              <w:txbxContent>
                <w:p w:rsidR="00E92D98" w:rsidRPr="00D4732C" w:rsidRDefault="00E92D98" w:rsidP="0047545A">
                  <w:pPr>
                    <w:jc w:val="center"/>
                    <w:rPr>
                      <w:rFonts w:ascii="Arial" w:hAnsi="Arial" w:cs="Arial"/>
                      <w:b/>
                      <w:sz w:val="18"/>
                      <w:szCs w:val="18"/>
                    </w:rPr>
                  </w:pPr>
                  <w:r w:rsidRPr="00D4732C">
                    <w:rPr>
                      <w:rFonts w:ascii="Arial" w:hAnsi="Arial" w:cs="Arial"/>
                      <w:b/>
                      <w:sz w:val="18"/>
                      <w:szCs w:val="18"/>
                    </w:rPr>
                    <w:t xml:space="preserve">E.07-D Demanda subterrânea em relação as reservas explotáveis (%) </w:t>
                  </w:r>
                </w:p>
              </w:txbxContent>
            </v:textbox>
          </v:shape>
        </w:pict>
      </w:r>
      <w:r>
        <w:rPr>
          <w:rFonts w:ascii="Arial" w:hAnsi="Arial" w:cs="Arial"/>
          <w:b/>
          <w:noProof/>
          <w:sz w:val="20"/>
          <w:szCs w:val="20"/>
        </w:rPr>
        <w:pict>
          <v:shape id="_x0000_s1404" type="#_x0000_t202" style="position:absolute;left:0;text-align:left;margin-left:167.8pt;margin-top:11.05pt;width:55.85pt;height:95.45pt;z-index:251842048;mso-width-relative:margin;mso-height-relative:margin" fillcolor="#cfc" strokecolor="white">
            <v:textbox style="mso-next-textbox:#_x0000_s1404">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4"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4,00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403" type="#_x0000_t202" style="position:absolute;left:0;text-align:left;margin-left:107.1pt;margin-top:11.05pt;width:55.85pt;height:95.45pt;z-index:251841024;mso-width-relative:margin;mso-height-relative:margin" fillcolor="#cfc" strokecolor="white">
            <v:textbox style="mso-next-textbox:#_x0000_s1403">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3"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4,00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402" type="#_x0000_t202" style="position:absolute;left:0;text-align:left;margin-left:46.4pt;margin-top:11.05pt;width:55.85pt;height:95.45pt;z-index:251840000;mso-width-relative:margin;mso-height-relative:margin" fillcolor="#cfc" strokecolor="white">
            <v:textbox style="mso-next-textbox:#_x0000_s1402">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2"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4,00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05" type="#_x0000_t202" style="position:absolute;left:0;text-align:left;margin-left:230.9pt;margin-top:11.05pt;width:55.85pt;height:95.45pt;z-index:251843072;mso-width-relative:margin;mso-height-relative:margin" fillcolor="#cfc" strokecolor="white">
            <v:textbox style="mso-next-textbox:#_x0000_s1405">
              <w:txbxContent>
                <w:p w:rsidR="00E92D98" w:rsidRDefault="00E92D98" w:rsidP="0047545A">
                  <w:pPr>
                    <w:jc w:val="center"/>
                    <w:rPr>
                      <w:rFonts w:ascii="Arial" w:hAnsi="Arial" w:cs="Arial"/>
                      <w:b/>
                      <w:sz w:val="18"/>
                      <w:szCs w:val="18"/>
                    </w:rPr>
                  </w:pPr>
                  <w:r w:rsidRPr="00BF4BD3">
                    <w:rPr>
                      <w:rFonts w:ascii="Arial" w:hAnsi="Arial" w:cs="Arial"/>
                      <w:b/>
                      <w:noProof/>
                      <w:sz w:val="18"/>
                      <w:szCs w:val="18"/>
                    </w:rPr>
                    <w:drawing>
                      <wp:inline distT="0" distB="0" distL="0" distR="0">
                        <wp:extent cx="515339" cy="534390"/>
                        <wp:effectExtent l="19050" t="0" r="0" b="0"/>
                        <wp:docPr id="43489435"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5,37</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397" type="#_x0000_t202" style="position:absolute;left:0;text-align:left;margin-left:295.05pt;margin-top:11.05pt;width:214.1pt;height:128.1pt;z-index:251834880;mso-width-relative:margin;mso-height-relative:margin" fillcolor="#cff" strokecolor="#f2f2f2">
            <v:textbox style="mso-next-textbox:#_x0000_s1397">
              <w:txbxContent>
                <w:p w:rsidR="00E92D98" w:rsidRPr="00791738" w:rsidRDefault="00E92D98" w:rsidP="0047545A">
                  <w:pPr>
                    <w:spacing w:line="240" w:lineRule="atLeast"/>
                    <w:jc w:val="center"/>
                    <w:rPr>
                      <w:rFonts w:ascii="Arial" w:hAnsi="Arial" w:cs="Arial"/>
                      <w:sz w:val="16"/>
                      <w:szCs w:val="16"/>
                    </w:rPr>
                  </w:pPr>
                  <w:r w:rsidRPr="00791738">
                    <w:rPr>
                      <w:rFonts w:ascii="Arial" w:hAnsi="Arial" w:cs="Arial"/>
                      <w:sz w:val="16"/>
                      <w:szCs w:val="16"/>
                    </w:rPr>
                    <w:t>Este parâmetro considera apenas os aqüíferos livres, sem levar em consideração as reservas</w:t>
                  </w:r>
                </w:p>
                <w:p w:rsidR="00E92D98" w:rsidRPr="00791738" w:rsidRDefault="00E92D98" w:rsidP="0047545A">
                  <w:pPr>
                    <w:spacing w:line="240" w:lineRule="atLeast"/>
                    <w:jc w:val="center"/>
                    <w:rPr>
                      <w:rFonts w:ascii="Arial" w:hAnsi="Arial" w:cs="Arial"/>
                      <w:sz w:val="16"/>
                      <w:szCs w:val="16"/>
                    </w:rPr>
                  </w:pPr>
                  <w:r w:rsidRPr="00791738">
                    <w:rPr>
                      <w:rFonts w:ascii="Arial" w:hAnsi="Arial" w:cs="Arial"/>
                      <w:sz w:val="16"/>
                      <w:szCs w:val="16"/>
                    </w:rPr>
                    <w:t>dos aqüíferos confinados, apesar do grande volume armazenado esse último possui infiltração e</w:t>
                  </w:r>
                </w:p>
                <w:p w:rsidR="00E92D98" w:rsidRPr="00791738" w:rsidRDefault="00E92D98" w:rsidP="0047545A">
                  <w:pPr>
                    <w:spacing w:line="240" w:lineRule="atLeast"/>
                    <w:jc w:val="center"/>
                    <w:rPr>
                      <w:szCs w:val="16"/>
                    </w:rPr>
                  </w:pPr>
                  <w:r w:rsidRPr="00791738">
                    <w:rPr>
                      <w:rFonts w:ascii="Arial" w:hAnsi="Arial" w:cs="Arial"/>
                      <w:sz w:val="16"/>
                      <w:szCs w:val="16"/>
                    </w:rPr>
                    <w:t>recarga mais lentos. A UGRHI 08 teve aumento na porcentagem de 4% para 5,37%, o que pode ser considerado devido ao aumento na exigência dos órgãos ambientais pela outorga de uso da água. Salientado que nenhum município da bacia ultrapassa os 30% considerado como "BOM".</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sidRPr="008E0DDB">
        <w:rPr>
          <w:rFonts w:ascii="Arial" w:hAnsi="Arial" w:cs="Arial"/>
          <w:b/>
          <w:bCs/>
          <w:noProof/>
          <w:color w:val="943634"/>
          <w:sz w:val="20"/>
          <w:szCs w:val="20"/>
          <w:lang w:eastAsia="en-US"/>
        </w:rPr>
        <w:pict>
          <v:shape id="_x0000_s1320" type="#_x0000_t202" style="position:absolute;left:0;text-align:left;margin-left:-21.5pt;margin-top:10.8pt;width:55.9pt;height:146.15pt;z-index:251756032;mso-width-relative:margin;mso-height-relative:margin" fillcolor="purple" strokecolor="#f2f2f2">
            <v:textbox style="layout-flow:vertical;mso-layout-flow-alt:bottom-to-top;mso-next-textbox:#_x0000_s1320">
              <w:txbxContent>
                <w:p w:rsidR="00E92D98" w:rsidRPr="00600CCB" w:rsidRDefault="00E92D98" w:rsidP="0047545A">
                  <w:pPr>
                    <w:spacing w:before="60" w:line="360" w:lineRule="auto"/>
                    <w:jc w:val="center"/>
                    <w:rPr>
                      <w:rFonts w:ascii="Arial" w:hAnsi="Arial" w:cs="Arial"/>
                      <w:sz w:val="18"/>
                      <w:szCs w:val="18"/>
                    </w:rPr>
                  </w:pPr>
                  <w:r w:rsidRPr="00600CCB">
                    <w:rPr>
                      <w:rFonts w:ascii="Arial" w:hAnsi="Arial" w:cs="Arial"/>
                      <w:b/>
                      <w:sz w:val="18"/>
                      <w:szCs w:val="18"/>
                    </w:rPr>
                    <w:t>E.08-A - Ocorrência de enchente ou inundação</w:t>
                  </w:r>
                </w:p>
              </w:txbxContent>
            </v:textbox>
          </v:shape>
        </w:pict>
      </w:r>
      <w:r>
        <w:rPr>
          <w:rFonts w:ascii="Arial" w:hAnsi="Arial" w:cs="Arial"/>
          <w:b/>
          <w:noProof/>
          <w:sz w:val="20"/>
          <w:szCs w:val="20"/>
        </w:rPr>
        <w:pict>
          <v:shape id="_x0000_s1324" type="#_x0000_t202" style="position:absolute;left:0;text-align:left;margin-left:46.4pt;margin-top:10.8pt;width:225.3pt;height:146.15pt;z-index:251760128;mso-wrap-style:none;mso-width-relative:margin;mso-height-relative:margin" strokecolor="#a5a5a5">
            <v:textbox style="mso-next-textbox:#_x0000_s1324">
              <w:txbxContent>
                <w:p w:rsidR="00E92D98" w:rsidRPr="00252C84" w:rsidRDefault="00E92D98" w:rsidP="0047545A">
                  <w:r>
                    <w:rPr>
                      <w:noProof/>
                    </w:rPr>
                    <w:drawing>
                      <wp:inline distT="0" distB="0" distL="0" distR="0">
                        <wp:extent cx="2672080" cy="1460500"/>
                        <wp:effectExtent l="0" t="0" r="0" b="0"/>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shape>
        </w:pict>
      </w:r>
      <w:r>
        <w:rPr>
          <w:rFonts w:ascii="Arial" w:hAnsi="Arial" w:cs="Arial"/>
          <w:b/>
          <w:noProof/>
          <w:sz w:val="20"/>
          <w:szCs w:val="20"/>
        </w:rPr>
        <w:pict>
          <v:shape id="_x0000_s1321" type="#_x0000_t202" style="position:absolute;left:0;text-align:left;margin-left:295.3pt;margin-top:10.8pt;width:214.1pt;height:146.15pt;z-index:251757056;mso-width-relative:margin;mso-height-relative:margin" strokecolor="#f2f2f2">
            <v:textbox style="mso-next-textbox:#_x0000_s1321">
              <w:txbxContent>
                <w:p w:rsidR="00E92D98" w:rsidRPr="00600CCB" w:rsidRDefault="00E92D98" w:rsidP="0047545A">
                  <w:pPr>
                    <w:spacing w:line="240" w:lineRule="atLeast"/>
                    <w:jc w:val="center"/>
                    <w:rPr>
                      <w:rFonts w:ascii="Arial" w:hAnsi="Arial" w:cs="Arial"/>
                      <w:sz w:val="16"/>
                      <w:szCs w:val="16"/>
                    </w:rPr>
                  </w:pPr>
                  <w:r w:rsidRPr="00600CCB">
                    <w:rPr>
                      <w:rFonts w:ascii="Arial" w:hAnsi="Arial" w:cs="Arial"/>
                      <w:sz w:val="16"/>
                      <w:szCs w:val="16"/>
                    </w:rPr>
                    <w:t>Enchente ou cheia é uma situação natural de transbordamento de água de seu leito natural, provocada pelo aumento do escoamento superficial</w:t>
                  </w:r>
                </w:p>
                <w:p w:rsidR="00E92D98" w:rsidRPr="00600CCB" w:rsidRDefault="00E92D98" w:rsidP="0047545A">
                  <w:pPr>
                    <w:spacing w:line="240" w:lineRule="atLeast"/>
                    <w:jc w:val="center"/>
                    <w:rPr>
                      <w:rFonts w:ascii="Arial" w:hAnsi="Arial" w:cs="Arial"/>
                      <w:sz w:val="16"/>
                      <w:szCs w:val="16"/>
                    </w:rPr>
                  </w:pPr>
                  <w:r w:rsidRPr="00600CCB">
                    <w:rPr>
                      <w:rFonts w:ascii="Arial" w:hAnsi="Arial" w:cs="Arial"/>
                      <w:sz w:val="16"/>
                      <w:szCs w:val="16"/>
                    </w:rPr>
                    <w:t>, invadindo áreas de leito do rio onde há presença humana na forma de moradias. Inundação é o acúmulo de água resultante de enxurradas, provocadas por chuvas intensas em áreas total ou parcialmente impermeabilizadas, ou causadas por falhas na</w:t>
                  </w:r>
                </w:p>
                <w:p w:rsidR="00E92D98" w:rsidRPr="00600CCB" w:rsidRDefault="00E92D98" w:rsidP="0047545A">
                  <w:pPr>
                    <w:spacing w:line="240" w:lineRule="atLeast"/>
                    <w:jc w:val="center"/>
                    <w:rPr>
                      <w:rFonts w:ascii="Arial" w:hAnsi="Arial" w:cs="Arial"/>
                      <w:sz w:val="16"/>
                      <w:szCs w:val="16"/>
                    </w:rPr>
                  </w:pPr>
                  <w:r w:rsidRPr="00600CCB">
                    <w:rPr>
                      <w:rFonts w:ascii="Arial" w:hAnsi="Arial" w:cs="Arial"/>
                      <w:sz w:val="16"/>
                      <w:szCs w:val="16"/>
                    </w:rPr>
                    <w:t>rede de drenagem urbana, causando transbordamentos. No caso da UGRHI 08 não foi registrado nenhum caso no ano de 2010</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jc w:val="center"/>
        <w:rPr>
          <w:rFonts w:ascii="Arial" w:hAnsi="Arial" w:cs="Arial"/>
          <w:b/>
          <w:bCs/>
          <w:color w:val="943634"/>
        </w:rPr>
      </w:pPr>
    </w:p>
    <w:p w:rsidR="0047545A" w:rsidRDefault="0047545A" w:rsidP="0047545A">
      <w:pPr>
        <w:jc w:val="center"/>
        <w:rPr>
          <w:rFonts w:ascii="Arial" w:hAnsi="Arial" w:cs="Arial"/>
          <w:b/>
          <w:bCs/>
          <w:color w:val="943634"/>
        </w:rPr>
      </w:pPr>
    </w:p>
    <w:p w:rsidR="0047545A" w:rsidRDefault="0047545A" w:rsidP="0047545A">
      <w:pPr>
        <w:jc w:val="center"/>
        <w:rPr>
          <w:rFonts w:ascii="Arial" w:hAnsi="Arial" w:cs="Arial"/>
          <w:b/>
          <w:bCs/>
          <w:color w:val="943634"/>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Pr="00A444A0" w:rsidRDefault="00A444A0" w:rsidP="00A444A0">
      <w:pPr>
        <w:pStyle w:val="PargrafodaLista"/>
        <w:numPr>
          <w:ilvl w:val="0"/>
          <w:numId w:val="11"/>
        </w:numPr>
        <w:jc w:val="right"/>
        <w:rPr>
          <w:rFonts w:ascii="Arial" w:hAnsi="Arial" w:cs="Arial"/>
          <w:b/>
          <w:noProof/>
          <w:sz w:val="28"/>
          <w:szCs w:val="28"/>
        </w:rPr>
      </w:pPr>
      <w:r w:rsidRPr="00A444A0">
        <w:rPr>
          <w:rFonts w:ascii="Arial" w:hAnsi="Arial" w:cs="Arial"/>
          <w:b/>
          <w:noProof/>
          <w:sz w:val="28"/>
          <w:szCs w:val="28"/>
        </w:rPr>
        <w:t>Resposta</w:t>
      </w: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A444A0" w:rsidRDefault="00A444A0" w:rsidP="0047545A">
      <w:pPr>
        <w:rPr>
          <w:rFonts w:ascii="Arial" w:hAnsi="Arial" w:cs="Arial"/>
          <w:b/>
          <w:noProof/>
          <w:sz w:val="20"/>
          <w:szCs w:val="20"/>
        </w:rPr>
      </w:pPr>
    </w:p>
    <w:p w:rsidR="0047545A" w:rsidRDefault="008E0DDB" w:rsidP="0047545A">
      <w:pPr>
        <w:rPr>
          <w:rFonts w:ascii="Arial" w:hAnsi="Arial" w:cs="Arial"/>
          <w:b/>
          <w:noProof/>
          <w:sz w:val="20"/>
          <w:szCs w:val="20"/>
        </w:rPr>
      </w:pPr>
      <w:r>
        <w:rPr>
          <w:rFonts w:ascii="Arial" w:hAnsi="Arial" w:cs="Arial"/>
          <w:b/>
          <w:noProof/>
          <w:sz w:val="20"/>
          <w:szCs w:val="20"/>
        </w:rPr>
        <w:pict>
          <v:shape id="_x0000_s1406" type="#_x0000_t202" style="position:absolute;margin-left:-21.5pt;margin-top:20.5pt;width:55.9pt;height:27.85pt;z-index:251844096;mso-width-relative:margin;mso-height-relative:margin" fillcolor="#d8d8d8" strokecolor="white">
            <v:textbox style="mso-next-textbox:#_x0000_s1406">
              <w:txbxContent>
                <w:p w:rsidR="00E92D98" w:rsidRPr="005875D4" w:rsidRDefault="00E92D98" w:rsidP="0047545A">
                  <w:pPr>
                    <w:spacing w:before="40"/>
                    <w:rPr>
                      <w:color w:val="00B050"/>
                      <w:sz w:val="16"/>
                      <w:szCs w:val="16"/>
                    </w:rPr>
                  </w:pPr>
                  <w:r w:rsidRPr="005875D4">
                    <w:rPr>
                      <w:rFonts w:ascii="Arial" w:hAnsi="Arial" w:cs="Arial"/>
                      <w:b/>
                      <w:bCs/>
                      <w:color w:val="00B050"/>
                      <w:sz w:val="16"/>
                      <w:szCs w:val="16"/>
                    </w:rPr>
                    <w:t>Grandeza/ Parâmetro</w:t>
                  </w:r>
                </w:p>
              </w:txbxContent>
            </v:textbox>
          </v:shape>
        </w:pict>
      </w:r>
      <w:r>
        <w:rPr>
          <w:rFonts w:ascii="Arial" w:hAnsi="Arial" w:cs="Arial"/>
          <w:b/>
          <w:noProof/>
          <w:sz w:val="20"/>
          <w:szCs w:val="20"/>
        </w:rPr>
        <w:pict>
          <v:shape id="_x0000_s1409" type="#_x0000_t202" style="position:absolute;margin-left:46.4pt;margin-top:54.75pt;width:240.35pt;height:27.85pt;z-index:251847168;mso-width-relative:margin;mso-height-relative:margin" fillcolor="#d8d8d8" strokecolor="white">
            <v:textbox style="mso-next-textbox:#_x0000_s1409">
              <w:txbxContent>
                <w:p w:rsidR="00E92D98" w:rsidRPr="002250E3" w:rsidRDefault="00E92D98" w:rsidP="0047545A">
                  <w:pPr>
                    <w:spacing w:before="60"/>
                    <w:rPr>
                      <w:color w:val="00B050"/>
                      <w:sz w:val="18"/>
                      <w:szCs w:val="18"/>
                    </w:rPr>
                  </w:pPr>
                  <w:r w:rsidRPr="002250E3">
                    <w:rPr>
                      <w:rFonts w:ascii="Arial" w:hAnsi="Arial" w:cs="Arial"/>
                      <w:b/>
                      <w:bCs/>
                      <w:color w:val="00B050"/>
                      <w:sz w:val="16"/>
                      <w:szCs w:val="16"/>
                    </w:rPr>
                    <w:t xml:space="preserve">      </w:t>
                  </w:r>
                  <w:r w:rsidRPr="002250E3">
                    <w:rPr>
                      <w:rFonts w:ascii="Arial" w:hAnsi="Arial" w:cs="Arial"/>
                      <w:b/>
                      <w:bCs/>
                      <w:color w:val="00B050"/>
                      <w:sz w:val="18"/>
                      <w:szCs w:val="18"/>
                    </w:rPr>
                    <w:t>2007</w:t>
                  </w:r>
                  <w:r w:rsidRPr="002250E3">
                    <w:rPr>
                      <w:rFonts w:ascii="Arial" w:hAnsi="Arial" w:cs="Arial"/>
                      <w:b/>
                      <w:bCs/>
                      <w:color w:val="00B050"/>
                      <w:sz w:val="18"/>
                      <w:szCs w:val="18"/>
                    </w:rPr>
                    <w:tab/>
                    <w:t xml:space="preserve">                2008               2009                 2010</w:t>
                  </w:r>
                  <w:r w:rsidRPr="002250E3">
                    <w:rPr>
                      <w:rFonts w:ascii="Arial" w:hAnsi="Arial" w:cs="Arial"/>
                      <w:b/>
                      <w:bCs/>
                      <w:color w:val="00B050"/>
                      <w:sz w:val="18"/>
                      <w:szCs w:val="18"/>
                    </w:rPr>
                    <w:tab/>
                  </w:r>
                  <w:r w:rsidRPr="002250E3">
                    <w:rPr>
                      <w:rFonts w:ascii="Arial" w:hAnsi="Arial" w:cs="Arial"/>
                      <w:b/>
                      <w:bCs/>
                      <w:color w:val="00B050"/>
                      <w:sz w:val="18"/>
                      <w:szCs w:val="18"/>
                    </w:rPr>
                    <w:tab/>
                  </w:r>
                  <w:r w:rsidRPr="002250E3">
                    <w:rPr>
                      <w:rFonts w:ascii="Arial" w:hAnsi="Arial" w:cs="Arial"/>
                      <w:b/>
                      <w:bCs/>
                      <w:color w:val="00B050"/>
                      <w:sz w:val="18"/>
                      <w:szCs w:val="18"/>
                    </w:rPr>
                    <w:tab/>
                  </w:r>
                  <w:r w:rsidRPr="002250E3">
                    <w:rPr>
                      <w:rFonts w:ascii="Arial" w:hAnsi="Arial" w:cs="Arial"/>
                      <w:b/>
                      <w:bCs/>
                      <w:color w:val="00B050"/>
                      <w:sz w:val="18"/>
                      <w:szCs w:val="18"/>
                    </w:rPr>
                    <w:tab/>
                  </w:r>
                </w:p>
              </w:txbxContent>
            </v:textbox>
          </v:shape>
        </w:pict>
      </w:r>
      <w:r>
        <w:rPr>
          <w:rFonts w:ascii="Arial" w:hAnsi="Arial" w:cs="Arial"/>
          <w:b/>
          <w:noProof/>
          <w:sz w:val="20"/>
          <w:szCs w:val="20"/>
        </w:rPr>
        <w:pict>
          <v:shape id="_x0000_s1408" type="#_x0000_t202" style="position:absolute;margin-left:46.4pt;margin-top:20.5pt;width:463pt;height:27.85pt;z-index:251846144;mso-width-relative:margin;mso-height-relative:margin" fillcolor="#d8d8d8" strokecolor="white">
            <v:textbox style="mso-next-textbox:#_x0000_s1408">
              <w:txbxContent>
                <w:p w:rsidR="00E92D98" w:rsidRPr="005875D4" w:rsidRDefault="00E92D98" w:rsidP="0047545A">
                  <w:pPr>
                    <w:spacing w:before="60"/>
                    <w:rPr>
                      <w:color w:val="00B050"/>
                      <w:sz w:val="16"/>
                      <w:szCs w:val="16"/>
                    </w:rPr>
                  </w:pPr>
                  <w:r w:rsidRPr="005875D4">
                    <w:rPr>
                      <w:rFonts w:ascii="Arial" w:hAnsi="Arial" w:cs="Arial"/>
                      <w:b/>
                      <w:bCs/>
                      <w:color w:val="00B050"/>
                      <w:sz w:val="18"/>
                      <w:szCs w:val="18"/>
                    </w:rPr>
                    <w:t xml:space="preserve">                           </w:t>
                  </w:r>
                  <w:r w:rsidRPr="005875D4">
                    <w:rPr>
                      <w:rFonts w:ascii="Arial" w:hAnsi="Arial" w:cs="Arial"/>
                      <w:b/>
                      <w:bCs/>
                      <w:color w:val="00B050"/>
                      <w:sz w:val="16"/>
                      <w:szCs w:val="16"/>
                    </w:rPr>
                    <w:t xml:space="preserve">Apresentação dos dados </w:t>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t>Comentário</w:t>
                  </w:r>
                </w:p>
              </w:txbxContent>
            </v:textbox>
          </v:shape>
        </w:pict>
      </w:r>
      <w:r>
        <w:rPr>
          <w:rFonts w:ascii="Arial" w:hAnsi="Arial" w:cs="Arial"/>
          <w:b/>
          <w:noProof/>
          <w:sz w:val="20"/>
          <w:szCs w:val="20"/>
        </w:rPr>
        <w:pict>
          <v:shape id="_x0000_s1407" type="#_x0000_t202" style="position:absolute;margin-left:-21.5pt;margin-top:-6.15pt;width:530.9pt;height:20.2pt;z-index:251845120;mso-width-relative:margin;mso-height-relative:margin" fillcolor="#d8d8d8" strokecolor="white">
            <v:textbox style="mso-next-textbox:#_x0000_s1407">
              <w:txbxContent>
                <w:p w:rsidR="00E92D98" w:rsidRPr="005875D4" w:rsidRDefault="00E92D98" w:rsidP="0047545A">
                  <w:pPr>
                    <w:jc w:val="center"/>
                    <w:rPr>
                      <w:rFonts w:ascii="Arial" w:hAnsi="Arial" w:cs="Arial"/>
                      <w:b/>
                      <w:bCs/>
                      <w:color w:val="00B050"/>
                      <w:sz w:val="20"/>
                      <w:szCs w:val="20"/>
                    </w:rPr>
                  </w:pPr>
                  <w:r w:rsidRPr="005875D4">
                    <w:rPr>
                      <w:rFonts w:ascii="Arial" w:hAnsi="Arial" w:cs="Arial"/>
                      <w:b/>
                      <w:bCs/>
                      <w:color w:val="00B050"/>
                      <w:sz w:val="20"/>
                      <w:szCs w:val="20"/>
                    </w:rPr>
                    <w:t>RESPOSTA: Controle de Poluição</w:t>
                  </w:r>
                </w:p>
                <w:p w:rsidR="00E92D98" w:rsidRPr="00826C1D" w:rsidRDefault="00E92D98" w:rsidP="0047545A">
                  <w:pPr>
                    <w:rPr>
                      <w:szCs w:val="18"/>
                    </w:rPr>
                  </w:pPr>
                </w:p>
              </w:txbxContent>
            </v:textbox>
          </v:shape>
        </w:pict>
      </w:r>
    </w:p>
    <w:p w:rsidR="0047545A" w:rsidRDefault="0047545A" w:rsidP="0047545A">
      <w:pPr>
        <w:rPr>
          <w:rFonts w:ascii="Arial" w:hAnsi="Arial" w:cs="Arial"/>
          <w:b/>
          <w:noProof/>
          <w:sz w:val="20"/>
          <w:szCs w:val="20"/>
        </w:rPr>
      </w:pPr>
    </w:p>
    <w:p w:rsidR="0047545A" w:rsidRDefault="0047545A" w:rsidP="0047545A">
      <w:pPr>
        <w:rPr>
          <w:rFonts w:ascii="Arial" w:hAnsi="Arial" w:cs="Arial"/>
          <w:b/>
          <w:noProof/>
          <w:sz w:val="20"/>
          <w:szCs w:val="20"/>
        </w:rPr>
      </w:pPr>
    </w:p>
    <w:p w:rsidR="0047545A" w:rsidRDefault="008E0DDB" w:rsidP="0047545A">
      <w:pPr>
        <w:rPr>
          <w:rFonts w:ascii="Arial" w:hAnsi="Arial" w:cs="Arial"/>
          <w:b/>
          <w:noProof/>
          <w:sz w:val="20"/>
          <w:szCs w:val="20"/>
        </w:rPr>
      </w:pPr>
      <w:r>
        <w:rPr>
          <w:rFonts w:ascii="Arial" w:hAnsi="Arial" w:cs="Arial"/>
          <w:b/>
          <w:noProof/>
          <w:sz w:val="20"/>
          <w:szCs w:val="20"/>
        </w:rPr>
        <w:pict>
          <v:shape id="_x0000_s1410" type="#_x0000_t202" style="position:absolute;margin-left:46.4pt;margin-top:13.6pt;width:240.35pt;height:97.55pt;z-index:251848192;mso-width-relative:margin;mso-height-relative:margin" strokecolor="white">
            <v:textbox style="mso-next-textbox:#_x0000_s1410">
              <w:txbxContent>
                <w:p w:rsidR="00E92D98" w:rsidRDefault="00E92D98" w:rsidP="0047545A">
                  <w:pPr>
                    <w:spacing w:line="360" w:lineRule="auto"/>
                    <w:rPr>
                      <w:rFonts w:ascii="Arial" w:hAnsi="Arial" w:cs="Arial"/>
                      <w:b/>
                      <w:sz w:val="18"/>
                      <w:szCs w:val="18"/>
                    </w:rPr>
                  </w:pPr>
                </w:p>
                <w:p w:rsidR="00E92D98" w:rsidRDefault="00E92D98" w:rsidP="0047545A">
                  <w:pPr>
                    <w:spacing w:line="360" w:lineRule="auto"/>
                    <w:rPr>
                      <w:rFonts w:ascii="Arial" w:hAnsi="Arial" w:cs="Arial"/>
                      <w:b/>
                      <w:sz w:val="18"/>
                      <w:szCs w:val="18"/>
                    </w:rPr>
                  </w:pPr>
                  <w:r w:rsidRPr="009050C8">
                    <w:rPr>
                      <w:rFonts w:ascii="Arial" w:hAnsi="Arial" w:cs="Arial"/>
                      <w:b/>
                      <w:sz w:val="18"/>
                      <w:szCs w:val="18"/>
                    </w:rPr>
                    <w:t>2010: A UGRHI 08 apresenta 97,5%  de domicílios na zona urbana atendidos por coleta de lixo</w:t>
                  </w:r>
                </w:p>
                <w:p w:rsidR="00E92D98" w:rsidRPr="009050C8" w:rsidRDefault="00E92D98" w:rsidP="0047545A">
                  <w:pPr>
                    <w:spacing w:line="360" w:lineRule="auto"/>
                    <w:jc w:val="right"/>
                    <w:rPr>
                      <w:rFonts w:ascii="Arial" w:hAnsi="Arial" w:cs="Arial"/>
                      <w:b/>
                      <w:sz w:val="18"/>
                      <w:szCs w:val="18"/>
                    </w:rPr>
                  </w:pPr>
                  <w:r>
                    <w:rPr>
                      <w:rFonts w:ascii="Arial" w:hAnsi="Arial" w:cs="Arial"/>
                      <w:b/>
                      <w:noProof/>
                      <w:sz w:val="18"/>
                      <w:szCs w:val="18"/>
                    </w:rPr>
                    <w:t xml:space="preserve">        </w:t>
                  </w:r>
                  <w:r>
                    <w:rPr>
                      <w:rFonts w:ascii="Arial" w:hAnsi="Arial" w:cs="Arial"/>
                      <w:b/>
                      <w:noProof/>
                      <w:sz w:val="18"/>
                      <w:szCs w:val="18"/>
                    </w:rPr>
                    <w:drawing>
                      <wp:inline distT="0" distB="0" distL="0" distR="0">
                        <wp:extent cx="510540" cy="462915"/>
                        <wp:effectExtent l="19050" t="0" r="0" b="0"/>
                        <wp:docPr id="36" name="Imagem 15"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ara_verde.png"/>
                                <pic:cNvPicPr>
                                  <a:picLocks noChangeAspect="1" noChangeArrowheads="1"/>
                                </pic:cNvPicPr>
                              </pic:nvPicPr>
                              <pic:blipFill>
                                <a:blip r:embed="rId11"/>
                                <a:srcRect/>
                                <a:stretch>
                                  <a:fillRect/>
                                </a:stretch>
                              </pic:blipFill>
                              <pic:spPr bwMode="auto">
                                <a:xfrm>
                                  <a:off x="0" y="0"/>
                                  <a:ext cx="510540" cy="462915"/>
                                </a:xfrm>
                                <a:prstGeom prst="rect">
                                  <a:avLst/>
                                </a:prstGeom>
                                <a:noFill/>
                                <a:ln w="9525">
                                  <a:noFill/>
                                  <a:miter lim="800000"/>
                                  <a:headEnd/>
                                  <a:tailEnd/>
                                </a:ln>
                              </pic:spPr>
                            </pic:pic>
                          </a:graphicData>
                        </a:graphic>
                      </wp:inline>
                    </w:drawing>
                  </w:r>
                </w:p>
              </w:txbxContent>
            </v:textbox>
          </v:shape>
        </w:pict>
      </w:r>
      <w:r>
        <w:rPr>
          <w:rFonts w:ascii="Arial" w:hAnsi="Arial" w:cs="Arial"/>
          <w:b/>
          <w:noProof/>
          <w:sz w:val="20"/>
          <w:szCs w:val="20"/>
        </w:rPr>
        <w:pict>
          <v:shape id="_x0000_s1322" type="#_x0000_t202" style="position:absolute;margin-left:-21.5pt;margin-top:13.6pt;width:55.9pt;height:97.55pt;z-index:251758080;mso-width-relative:margin;mso-height-relative:margin" fillcolor="purple" strokecolor="#f2f2f2">
            <v:textbox style="layout-flow:vertical;mso-layout-flow-alt:bottom-to-top;mso-next-textbox:#_x0000_s1322">
              <w:txbxContent>
                <w:p w:rsidR="00E92D98" w:rsidRPr="009050C8" w:rsidRDefault="00E92D98" w:rsidP="0047545A">
                  <w:pPr>
                    <w:jc w:val="center"/>
                    <w:rPr>
                      <w:rFonts w:ascii="Arial" w:hAnsi="Arial" w:cs="Arial"/>
                      <w:b/>
                      <w:sz w:val="18"/>
                      <w:szCs w:val="18"/>
                    </w:rPr>
                  </w:pPr>
                  <w:r w:rsidRPr="009050C8">
                    <w:rPr>
                      <w:rFonts w:ascii="Arial" w:hAnsi="Arial" w:cs="Arial"/>
                      <w:b/>
                      <w:sz w:val="18"/>
                      <w:szCs w:val="18"/>
                    </w:rPr>
                    <w:t>R.01-A - Proporção de domicílios com coleta de resíduos sólidos</w:t>
                  </w:r>
                </w:p>
              </w:txbxContent>
            </v:textbox>
          </v:shape>
        </w:pict>
      </w:r>
    </w:p>
    <w:p w:rsidR="0047545A" w:rsidRDefault="008E0DDB" w:rsidP="0047545A">
      <w:pPr>
        <w:rPr>
          <w:rFonts w:ascii="Arial" w:hAnsi="Arial" w:cs="Arial"/>
          <w:b/>
          <w:noProof/>
          <w:sz w:val="20"/>
          <w:szCs w:val="20"/>
        </w:rPr>
      </w:pPr>
      <w:r>
        <w:rPr>
          <w:rFonts w:ascii="Arial" w:hAnsi="Arial" w:cs="Arial"/>
          <w:b/>
          <w:noProof/>
          <w:sz w:val="20"/>
          <w:szCs w:val="20"/>
        </w:rPr>
        <w:pict>
          <v:shape id="_x0000_s1323" type="#_x0000_t202" style="position:absolute;margin-left:302.45pt;margin-top:2.1pt;width:206.95pt;height:342.85pt;z-index:251759104;mso-width-relative:margin;mso-height-relative:margin" strokecolor="#f2f2f2">
            <v:textbox style="mso-next-textbox:#_x0000_s1323">
              <w:txbxContent>
                <w:p w:rsidR="00E92D98" w:rsidRPr="001B71D1" w:rsidRDefault="00E92D98" w:rsidP="0047545A">
                  <w:pPr>
                    <w:spacing w:line="240" w:lineRule="atLeast"/>
                    <w:jc w:val="center"/>
                    <w:rPr>
                      <w:rFonts w:ascii="Arial" w:hAnsi="Arial" w:cs="Arial"/>
                      <w:b/>
                      <w:sz w:val="16"/>
                      <w:szCs w:val="16"/>
                    </w:rPr>
                  </w:pPr>
                  <w:r w:rsidRPr="009050C8">
                    <w:rPr>
                      <w:rFonts w:ascii="Arial" w:hAnsi="Arial" w:cs="Arial"/>
                      <w:sz w:val="16"/>
                      <w:szCs w:val="16"/>
                    </w:rPr>
                    <w:t xml:space="preserve">Segundo o Inventário de Resíduos Sólidos da CETESB - 2010, Jeriquara melhorou suas condições de disposição de resíduos e passou a ser enquadrada com IQR "adequado". Os municípios de Buritizal, Guará, Ituverava, São Joaquim da Barra dispõem seus resíduos no mesmo aterro operacionalizado pela Ambitec (aterro particular) e foram reclassificados de adequados em 2009 para controlados em 2010,  que acreditamos ser em virtude do dinamismo operacional da instalação e das variações climáticas onde se encontra o aterro, uma vez que observa-se que há uma tendência na redução da geração de resíduos sólidos domiciliares da UGRHI 08 (315,8 ton/dia). Neste grupo estão também Guaíra, Igarapava, Ipuã, Miguelópolis e Pedregulho  que juntos produzem 26,8 % dos resíduos sólidos da UGRHI 08. Sendo que os 73,20% do total de resíduos da bacia são dispostos em aterros classificados como adequados, estando neste grupo Franca como o município mais populoso, conseqüentemente o maior gerador de resíduos domiciliares. São José da Bela Vista dispõe seus resíduos em aterro no município de Jardinópolis. </w:t>
                  </w:r>
                  <w:r w:rsidRPr="001B71D1">
                    <w:rPr>
                      <w:rFonts w:ascii="Arial" w:hAnsi="Arial" w:cs="Arial"/>
                      <w:b/>
                      <w:sz w:val="16"/>
                      <w:szCs w:val="16"/>
                    </w:rPr>
                    <w:t>Para inverter a tendência do aumento de IQR controlados, sugerimos a continuidade de políticas públicas de adequação da disposição dos resíduos domiciliares e de incentivos aos municípios.</w:t>
                  </w:r>
                </w:p>
              </w:txbxContent>
            </v:textbox>
          </v:shape>
        </w:pict>
      </w:r>
    </w:p>
    <w:p w:rsidR="0047545A" w:rsidRDefault="0047545A" w:rsidP="0047545A">
      <w:pPr>
        <w:rPr>
          <w:rFonts w:ascii="Arial" w:hAnsi="Arial" w:cs="Arial"/>
          <w:b/>
          <w:noProof/>
          <w:sz w:val="20"/>
          <w:szCs w:val="20"/>
        </w:rPr>
      </w:pPr>
    </w:p>
    <w:p w:rsidR="001B71D1" w:rsidRDefault="001B71D1" w:rsidP="0047545A">
      <w:pPr>
        <w:rPr>
          <w:rFonts w:ascii="Arial" w:hAnsi="Arial" w:cs="Arial"/>
          <w:b/>
          <w:noProof/>
          <w:sz w:val="20"/>
          <w:szCs w:val="20"/>
        </w:rPr>
      </w:pPr>
    </w:p>
    <w:p w:rsidR="001B71D1" w:rsidRDefault="001B71D1" w:rsidP="0047545A">
      <w:pPr>
        <w:rPr>
          <w:rFonts w:ascii="Arial" w:hAnsi="Arial" w:cs="Arial"/>
          <w:b/>
          <w:noProof/>
          <w:sz w:val="20"/>
          <w:szCs w:val="20"/>
        </w:rPr>
      </w:pPr>
    </w:p>
    <w:p w:rsidR="001B71D1" w:rsidRDefault="001B71D1" w:rsidP="0047545A">
      <w:pPr>
        <w:rPr>
          <w:rFonts w:ascii="Arial" w:hAnsi="Arial" w:cs="Arial"/>
          <w:b/>
          <w:noProof/>
          <w:sz w:val="20"/>
          <w:szCs w:val="20"/>
        </w:rPr>
      </w:pPr>
    </w:p>
    <w:p w:rsidR="001B71D1" w:rsidRDefault="001B71D1" w:rsidP="0047545A">
      <w:pPr>
        <w:rPr>
          <w:rFonts w:ascii="Arial" w:hAnsi="Arial" w:cs="Arial"/>
          <w:b/>
          <w:noProof/>
          <w:sz w:val="20"/>
          <w:szCs w:val="20"/>
        </w:rPr>
      </w:pPr>
    </w:p>
    <w:p w:rsidR="0047545A" w:rsidRDefault="0047545A" w:rsidP="0047545A">
      <w:pPr>
        <w:rPr>
          <w:rFonts w:ascii="Arial" w:hAnsi="Arial" w:cs="Arial"/>
          <w:b/>
          <w:noProof/>
          <w:sz w:val="20"/>
          <w:szCs w:val="20"/>
        </w:rPr>
      </w:pPr>
    </w:p>
    <w:p w:rsidR="001B71D1" w:rsidRDefault="001B71D1" w:rsidP="0047545A">
      <w:pPr>
        <w:rPr>
          <w:rFonts w:ascii="Arial" w:hAnsi="Arial" w:cs="Arial"/>
          <w:b/>
          <w:noProof/>
          <w:sz w:val="20"/>
          <w:szCs w:val="20"/>
        </w:rPr>
      </w:pPr>
    </w:p>
    <w:p w:rsidR="0047545A" w:rsidRDefault="0047545A" w:rsidP="0047545A">
      <w:pPr>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25" type="#_x0000_t202" style="position:absolute;left:0;text-align:left;margin-left:-21.5pt;margin-top:6.6pt;width:61.5pt;height:106.3pt;z-index:251761152;mso-width-relative:margin;mso-height-relative:margin" fillcolor="#ff6" strokecolor="#f2f2f2">
            <v:textbox style="layout-flow:vertical;mso-layout-flow-alt:bottom-to-top;mso-next-textbox:#_x0000_s1325">
              <w:txbxContent>
                <w:p w:rsidR="00E92D98" w:rsidRPr="009050C8" w:rsidRDefault="00E92D98" w:rsidP="0047545A">
                  <w:pPr>
                    <w:jc w:val="center"/>
                    <w:rPr>
                      <w:rFonts w:ascii="Arial" w:hAnsi="Arial" w:cs="Arial"/>
                      <w:b/>
                      <w:sz w:val="16"/>
                      <w:szCs w:val="16"/>
                    </w:rPr>
                  </w:pPr>
                  <w:r w:rsidRPr="009050C8">
                    <w:rPr>
                      <w:rFonts w:ascii="Arial" w:hAnsi="Arial" w:cs="Arial"/>
                      <w:b/>
                      <w:sz w:val="16"/>
                      <w:szCs w:val="16"/>
                    </w:rPr>
                    <w:t>R.01-B. Proporção de resíduo sólido domiciliar disposto em aterro enquadrado como ADEQUADO (%)</w:t>
                  </w:r>
                </w:p>
              </w:txbxContent>
            </v:textbox>
          </v:shape>
        </w:pict>
      </w:r>
      <w:r>
        <w:rPr>
          <w:rFonts w:ascii="Arial" w:hAnsi="Arial" w:cs="Arial"/>
          <w:b/>
          <w:noProof/>
          <w:sz w:val="20"/>
          <w:szCs w:val="20"/>
        </w:rPr>
        <w:pict>
          <v:shape id="_x0000_s1411" type="#_x0000_t202" style="position:absolute;left:0;text-align:left;margin-left:46.4pt;margin-top:6.6pt;width:55.85pt;height:106.3pt;z-index:251849216;mso-width-relative:margin;mso-height-relative:margin" fillcolor="#cfc" strokecolor="white">
            <v:textbox style="mso-next-textbox:#_x0000_s1411">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36"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83,90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12" type="#_x0000_t202" style="position:absolute;left:0;text-align:left;margin-left:107.1pt;margin-top:6.6pt;width:55.85pt;height:106.3pt;z-index:251850240;mso-width-relative:margin;mso-height-relative:margin" fillcolor="#cfc" strokecolor="white">
            <v:textbox style="mso-next-textbox:#_x0000_s1412">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37"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89,20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413" type="#_x0000_t202" style="position:absolute;left:0;text-align:left;margin-left:167.8pt;margin-top:6.6pt;width:55.85pt;height:106.3pt;z-index:251851264;mso-width-relative:margin;mso-height-relative:margin" fillcolor="#cfc" strokecolor="white">
            <v:textbox style="mso-next-textbox:#_x0000_s1413">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38"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86,30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414" type="#_x0000_t202" style="position:absolute;left:0;text-align:left;margin-left:230.9pt;margin-top:6.6pt;width:55.85pt;height:106.3pt;z-index:251852288;mso-width-relative:margin;mso-height-relative:margin" fillcolor="#cfc" strokecolor="white">
            <v:textbox style="mso-next-textbox:#_x0000_s1414">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30"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73,20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52" type="#_x0000_t202" style="position:absolute;left:0;text-align:left;margin-left:-21.5pt;margin-top:10.65pt;width:61.5pt;height:102.95pt;z-index:251788800;mso-width-relative:margin;mso-height-relative:margin" fillcolor="#ff6" strokecolor="#f2f2f2">
            <v:textbox style="layout-flow:vertical;mso-layout-flow-alt:bottom-to-top;mso-next-textbox:#_x0000_s1352">
              <w:txbxContent>
                <w:p w:rsidR="00E92D98" w:rsidRPr="009050C8" w:rsidRDefault="00E92D98" w:rsidP="0047545A">
                  <w:pPr>
                    <w:jc w:val="center"/>
                    <w:rPr>
                      <w:b/>
                      <w:sz w:val="16"/>
                      <w:szCs w:val="16"/>
                    </w:rPr>
                  </w:pPr>
                  <w:r w:rsidRPr="009050C8">
                    <w:rPr>
                      <w:rFonts w:ascii="Arial" w:hAnsi="Arial" w:cs="Arial"/>
                      <w:b/>
                      <w:sz w:val="16"/>
                      <w:szCs w:val="16"/>
                    </w:rPr>
                    <w:t>R.01-C. IQR - Proporção de municípios com IQR enquadrado como ADEQUADO</w:t>
                  </w:r>
                </w:p>
              </w:txbxContent>
            </v:textbox>
          </v:shape>
        </w:pict>
      </w:r>
      <w:r>
        <w:rPr>
          <w:rFonts w:ascii="Arial" w:hAnsi="Arial" w:cs="Arial"/>
          <w:b/>
          <w:noProof/>
          <w:sz w:val="20"/>
          <w:szCs w:val="20"/>
        </w:rPr>
        <w:pict>
          <v:shape id="_x0000_s1418" type="#_x0000_t202" style="position:absolute;left:0;text-align:left;margin-left:230.9pt;margin-top:10.65pt;width:55.85pt;height:102.95pt;z-index:251856384;mso-width-relative:margin;mso-height-relative:margin" fillcolor="#cfc" strokecolor="white">
            <v:textbox style="mso-next-textbox:#_x0000_s1418">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43"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59,10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417" type="#_x0000_t202" style="position:absolute;left:0;text-align:left;margin-left:167.8pt;margin-top:10.65pt;width:55.85pt;height:102.95pt;z-index:251855360;mso-width-relative:margin;mso-height-relative:margin" fillcolor="#cfc" strokecolor="white">
            <v:textbox style="mso-next-textbox:#_x0000_s1417">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42"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72,70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416" type="#_x0000_t202" style="position:absolute;left:0;text-align:left;margin-left:107.1pt;margin-top:10.65pt;width:55.85pt;height:102.95pt;z-index:251854336;mso-width-relative:margin;mso-height-relative:margin" fillcolor="#cfc" strokecolor="white">
            <v:textbox style="mso-next-textbox:#_x0000_s1416">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41"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68,20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415" type="#_x0000_t202" style="position:absolute;left:0;text-align:left;margin-left:46.4pt;margin-top:10.65pt;width:55.85pt;height:102.95pt;z-index:251853312;mso-width-relative:margin;mso-height-relative:margin" fillcolor="#cfc" strokecolor="white">
            <v:textbox style="mso-next-textbox:#_x0000_s1415">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sidRPr="009D5C92">
                    <w:rPr>
                      <w:rFonts w:ascii="Arial" w:hAnsi="Arial" w:cs="Arial"/>
                      <w:b/>
                      <w:noProof/>
                      <w:sz w:val="18"/>
                      <w:szCs w:val="18"/>
                    </w:rPr>
                    <w:drawing>
                      <wp:inline distT="0" distB="0" distL="0" distR="0">
                        <wp:extent cx="515339" cy="534390"/>
                        <wp:effectExtent l="19050" t="0" r="0" b="0"/>
                        <wp:docPr id="43489440"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68,20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1B71D1" w:rsidRDefault="001B71D1"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420" type="#_x0000_t202" style="position:absolute;left:0;text-align:left;margin-left:302.35pt;margin-top:12.35pt;width:206.95pt;height:114.9pt;z-index:251858432;mso-width-relative:margin;mso-height-relative:margin" strokecolor="#f2f2f2">
            <v:textbox style="mso-next-textbox:#_x0000_s1420">
              <w:txbxContent>
                <w:p w:rsidR="00E92D98" w:rsidRPr="001B71D1" w:rsidRDefault="00E92D98" w:rsidP="0047545A">
                  <w:pPr>
                    <w:spacing w:line="240" w:lineRule="atLeast"/>
                    <w:jc w:val="center"/>
                    <w:rPr>
                      <w:i/>
                    </w:rPr>
                  </w:pPr>
                  <w:r w:rsidRPr="00011C0F">
                    <w:rPr>
                      <w:rFonts w:ascii="Arial" w:hAnsi="Arial" w:cs="Arial"/>
                      <w:sz w:val="16"/>
                      <w:szCs w:val="16"/>
                    </w:rPr>
                    <w:t xml:space="preserve">A UGRHI 08 apresenta índice "BOM" quanto a porcentagem de domicílios atendidos por coleta de efluente sanitário em relação a quantidade total, na área urbana, próximo à média do Estado de 98,2%. Cristais Paulista apresentou o menor índice  entre os municípios da bacia de 68,8%. </w:t>
                  </w:r>
                  <w:r w:rsidRPr="001B71D1">
                    <w:rPr>
                      <w:rFonts w:ascii="Arial" w:hAnsi="Arial" w:cs="Arial"/>
                      <w:i/>
                      <w:sz w:val="16"/>
                      <w:szCs w:val="16"/>
                    </w:rPr>
                    <w:t>Destaca-se a população rural que não é computada neste indicador, necessitando de investimentos em saneamento.</w:t>
                  </w:r>
                </w:p>
              </w:txbxContent>
            </v:textbox>
          </v:shape>
        </w:pict>
      </w:r>
      <w:r>
        <w:rPr>
          <w:rFonts w:ascii="Arial" w:hAnsi="Arial" w:cs="Arial"/>
          <w:b/>
          <w:noProof/>
          <w:sz w:val="20"/>
          <w:szCs w:val="20"/>
        </w:rPr>
        <w:pict>
          <v:shape id="_x0000_s1419" type="#_x0000_t202" style="position:absolute;left:0;text-align:left;margin-left:-21.6pt;margin-top:12.35pt;width:55.9pt;height:114.9pt;z-index:251857408;mso-width-relative:margin;mso-height-relative:margin" fillcolor="purple" strokecolor="#f2f2f2">
            <v:textbox style="layout-flow:vertical;mso-layout-flow-alt:bottom-to-top;mso-next-textbox:#_x0000_s1419">
              <w:txbxContent>
                <w:p w:rsidR="00E92D98" w:rsidRPr="00011C0F" w:rsidRDefault="00E92D98" w:rsidP="0047545A">
                  <w:pPr>
                    <w:jc w:val="center"/>
                    <w:rPr>
                      <w:szCs w:val="16"/>
                    </w:rPr>
                  </w:pPr>
                  <w:r w:rsidRPr="00011C0F">
                    <w:rPr>
                      <w:rFonts w:ascii="Arial" w:hAnsi="Arial" w:cs="Arial"/>
                      <w:b/>
                      <w:sz w:val="18"/>
                      <w:szCs w:val="18"/>
                    </w:rPr>
                    <w:t>R.02-A - Cobertura da rede coletora de efluentes sanitários</w:t>
                  </w:r>
                </w:p>
              </w:txbxContent>
            </v:textbox>
          </v:shape>
        </w:pict>
      </w:r>
      <w:r>
        <w:rPr>
          <w:rFonts w:ascii="Arial" w:hAnsi="Arial" w:cs="Arial"/>
          <w:b/>
          <w:noProof/>
          <w:sz w:val="20"/>
          <w:szCs w:val="20"/>
        </w:rPr>
        <w:pict>
          <v:shape id="_x0000_s1421" type="#_x0000_t202" style="position:absolute;left:0;text-align:left;margin-left:46.4pt;margin-top:15.8pt;width:240.35pt;height:97.55pt;z-index:251859456;mso-width-relative:margin;mso-height-relative:margin" strokecolor="white">
            <v:textbox style="mso-next-textbox:#_x0000_s1421">
              <w:txbxContent>
                <w:p w:rsidR="00E92D98" w:rsidRDefault="00E92D98" w:rsidP="0047545A">
                  <w:pPr>
                    <w:spacing w:line="360" w:lineRule="auto"/>
                    <w:rPr>
                      <w:rFonts w:ascii="Arial" w:hAnsi="Arial" w:cs="Arial"/>
                      <w:b/>
                      <w:sz w:val="18"/>
                      <w:szCs w:val="18"/>
                    </w:rPr>
                  </w:pPr>
                </w:p>
                <w:p w:rsidR="00E92D98" w:rsidRPr="009050C8" w:rsidRDefault="00E92D98" w:rsidP="0047545A">
                  <w:pPr>
                    <w:spacing w:line="360" w:lineRule="auto"/>
                    <w:rPr>
                      <w:rFonts w:ascii="Arial" w:hAnsi="Arial" w:cs="Arial"/>
                      <w:b/>
                      <w:sz w:val="18"/>
                      <w:szCs w:val="18"/>
                    </w:rPr>
                  </w:pPr>
                  <w:r w:rsidRPr="00011C0F">
                    <w:rPr>
                      <w:rFonts w:ascii="Arial" w:hAnsi="Arial" w:cs="Arial"/>
                      <w:b/>
                      <w:sz w:val="18"/>
                      <w:szCs w:val="18"/>
                    </w:rPr>
                    <w:t xml:space="preserve">2010: A UGRHI 08 apresenta 94,5% </w:t>
                  </w:r>
                  <w:r>
                    <w:rPr>
                      <w:rFonts w:ascii="Arial" w:hAnsi="Arial" w:cs="Arial"/>
                      <w:b/>
                      <w:noProof/>
                      <w:sz w:val="18"/>
                      <w:szCs w:val="18"/>
                    </w:rPr>
                    <w:t xml:space="preserve">       </w:t>
                  </w:r>
                  <w:r>
                    <w:rPr>
                      <w:rFonts w:ascii="Arial" w:hAnsi="Arial" w:cs="Arial"/>
                      <w:b/>
                      <w:noProof/>
                      <w:sz w:val="18"/>
                      <w:szCs w:val="18"/>
                    </w:rPr>
                    <w:drawing>
                      <wp:inline distT="0" distB="0" distL="0" distR="0">
                        <wp:extent cx="510540" cy="462915"/>
                        <wp:effectExtent l="19050" t="0" r="0" b="0"/>
                        <wp:docPr id="45" name="Imagem 15"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ara_verde.png"/>
                                <pic:cNvPicPr>
                                  <a:picLocks noChangeAspect="1" noChangeArrowheads="1"/>
                                </pic:cNvPicPr>
                              </pic:nvPicPr>
                              <pic:blipFill>
                                <a:blip r:embed="rId11"/>
                                <a:srcRect/>
                                <a:stretch>
                                  <a:fillRect/>
                                </a:stretch>
                              </pic:blipFill>
                              <pic:spPr bwMode="auto">
                                <a:xfrm>
                                  <a:off x="0" y="0"/>
                                  <a:ext cx="510540" cy="462915"/>
                                </a:xfrm>
                                <a:prstGeom prst="rect">
                                  <a:avLst/>
                                </a:prstGeom>
                                <a:noFill/>
                                <a:ln w="9525">
                                  <a:noFill/>
                                  <a:miter lim="800000"/>
                                  <a:headEnd/>
                                  <a:tailEnd/>
                                </a:ln>
                              </pic:spPr>
                            </pic:pic>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jc w:val="center"/>
        <w:rPr>
          <w:rFonts w:ascii="Arial" w:hAnsi="Arial" w:cs="Arial"/>
          <w:b/>
          <w:bCs/>
          <w:color w:val="943634"/>
        </w:rPr>
      </w:pPr>
    </w:p>
    <w:p w:rsidR="001B71D1" w:rsidRDefault="001B71D1" w:rsidP="0047545A">
      <w:pPr>
        <w:jc w:val="center"/>
        <w:rPr>
          <w:rFonts w:ascii="Arial" w:hAnsi="Arial" w:cs="Arial"/>
          <w:b/>
          <w:bCs/>
          <w:color w:val="943634"/>
        </w:rPr>
      </w:pPr>
    </w:p>
    <w:p w:rsidR="00B46C8D" w:rsidRDefault="00B46C8D" w:rsidP="0047545A">
      <w:pPr>
        <w:jc w:val="center"/>
        <w:rPr>
          <w:rFonts w:ascii="Arial" w:hAnsi="Arial" w:cs="Arial"/>
          <w:b/>
          <w:bCs/>
          <w:color w:val="943634"/>
        </w:rPr>
      </w:pPr>
    </w:p>
    <w:p w:rsidR="0047545A" w:rsidRDefault="008E0DDB" w:rsidP="0047545A">
      <w:pPr>
        <w:jc w:val="center"/>
        <w:rPr>
          <w:rFonts w:ascii="Arial" w:hAnsi="Arial" w:cs="Arial"/>
          <w:b/>
          <w:bCs/>
          <w:color w:val="943634"/>
        </w:rPr>
      </w:pPr>
      <w:r>
        <w:rPr>
          <w:rFonts w:ascii="Arial" w:hAnsi="Arial" w:cs="Arial"/>
          <w:b/>
          <w:bCs/>
          <w:noProof/>
          <w:color w:val="943634"/>
        </w:rPr>
        <w:pict>
          <v:shape id="_x0000_s1423" type="#_x0000_t202" style="position:absolute;left:0;text-align:left;margin-left:107.1pt;margin-top:27.2pt;width:55.85pt;height:84.25pt;z-index:251861504;mso-width-relative:margin;mso-height-relative:margin" fillcolor="#cfc" strokecolor="white">
            <v:textbox style="mso-next-textbox:#_x0000_s1423">
              <w:txbxContent>
                <w:p w:rsidR="00E92D98" w:rsidRDefault="00E92D98" w:rsidP="0047545A">
                  <w:pPr>
                    <w:jc w:val="center"/>
                    <w:rPr>
                      <w:rFonts w:ascii="Arial" w:hAnsi="Arial" w:cs="Arial"/>
                      <w:b/>
                      <w:sz w:val="18"/>
                      <w:szCs w:val="18"/>
                    </w:rPr>
                  </w:pPr>
                  <w:r w:rsidRPr="001B71D1">
                    <w:rPr>
                      <w:rFonts w:ascii="Arial" w:hAnsi="Arial" w:cs="Arial"/>
                      <w:b/>
                      <w:noProof/>
                      <w:sz w:val="18"/>
                      <w:szCs w:val="18"/>
                    </w:rPr>
                    <w:drawing>
                      <wp:inline distT="0" distB="0" distL="0" distR="0">
                        <wp:extent cx="515339" cy="534390"/>
                        <wp:effectExtent l="19050" t="0" r="0" b="0"/>
                        <wp:docPr id="43489446"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94,00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bCs/>
          <w:noProof/>
          <w:color w:val="943634"/>
        </w:rPr>
        <w:pict>
          <v:shape id="_x0000_s1422" type="#_x0000_t202" style="position:absolute;left:0;text-align:left;margin-left:46.4pt;margin-top:27.2pt;width:55.85pt;height:84.25pt;z-index:251860480;mso-width-relative:margin;mso-height-relative:margin" fillcolor="#cfc" strokecolor="white">
            <v:textbox style="mso-next-textbox:#_x0000_s1422">
              <w:txbxContent>
                <w:p w:rsidR="00E92D98" w:rsidRDefault="00E92D98" w:rsidP="0047545A">
                  <w:pPr>
                    <w:jc w:val="center"/>
                    <w:rPr>
                      <w:rFonts w:ascii="Arial" w:hAnsi="Arial" w:cs="Arial"/>
                      <w:b/>
                      <w:sz w:val="18"/>
                      <w:szCs w:val="18"/>
                    </w:rPr>
                  </w:pPr>
                  <w:r w:rsidRPr="001B71D1">
                    <w:rPr>
                      <w:rFonts w:ascii="Arial" w:hAnsi="Arial" w:cs="Arial"/>
                      <w:b/>
                      <w:noProof/>
                      <w:sz w:val="18"/>
                      <w:szCs w:val="18"/>
                    </w:rPr>
                    <w:drawing>
                      <wp:inline distT="0" distB="0" distL="0" distR="0">
                        <wp:extent cx="515339" cy="534390"/>
                        <wp:effectExtent l="19050" t="0" r="0" b="0"/>
                        <wp:docPr id="43489448"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99,00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bCs/>
          <w:noProof/>
          <w:color w:val="943634"/>
        </w:rPr>
        <w:pict>
          <v:shape id="_x0000_s1425" type="#_x0000_t202" style="position:absolute;left:0;text-align:left;margin-left:230.9pt;margin-top:27.2pt;width:55.85pt;height:84.25pt;z-index:251863552;mso-width-relative:margin;mso-height-relative:margin" fillcolor="#cfc" strokecolor="white">
            <v:textbox style="mso-next-textbox:#_x0000_s1425">
              <w:txbxContent>
                <w:p w:rsidR="00E92D98" w:rsidRDefault="00E92D98" w:rsidP="0047545A">
                  <w:pPr>
                    <w:jc w:val="center"/>
                    <w:rPr>
                      <w:rFonts w:ascii="Arial" w:hAnsi="Arial" w:cs="Arial"/>
                      <w:b/>
                      <w:sz w:val="18"/>
                      <w:szCs w:val="18"/>
                    </w:rPr>
                  </w:pPr>
                  <w:r w:rsidRPr="001B71D1">
                    <w:rPr>
                      <w:rFonts w:ascii="Arial" w:hAnsi="Arial" w:cs="Arial"/>
                      <w:b/>
                      <w:noProof/>
                      <w:sz w:val="18"/>
                      <w:szCs w:val="18"/>
                    </w:rPr>
                    <w:drawing>
                      <wp:inline distT="0" distB="0" distL="0" distR="0">
                        <wp:extent cx="515339" cy="534390"/>
                        <wp:effectExtent l="19050" t="0" r="0" b="0"/>
                        <wp:docPr id="43489444"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99,10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bCs/>
          <w:noProof/>
          <w:color w:val="943634"/>
        </w:rPr>
        <w:pict>
          <v:shape id="_x0000_s1424" type="#_x0000_t202" style="position:absolute;left:0;text-align:left;margin-left:167.8pt;margin-top:27.2pt;width:55.85pt;height:84.25pt;z-index:251862528;mso-width-relative:margin;mso-height-relative:margin" fillcolor="#cfc" strokecolor="white">
            <v:textbox style="mso-next-textbox:#_x0000_s1424">
              <w:txbxContent>
                <w:p w:rsidR="00E92D98" w:rsidRDefault="00E92D98" w:rsidP="0047545A">
                  <w:pPr>
                    <w:jc w:val="center"/>
                    <w:rPr>
                      <w:rFonts w:ascii="Arial" w:hAnsi="Arial" w:cs="Arial"/>
                      <w:b/>
                      <w:sz w:val="18"/>
                      <w:szCs w:val="18"/>
                    </w:rPr>
                  </w:pPr>
                  <w:r w:rsidRPr="001B71D1">
                    <w:rPr>
                      <w:rFonts w:ascii="Arial" w:hAnsi="Arial" w:cs="Arial"/>
                      <w:b/>
                      <w:noProof/>
                      <w:sz w:val="18"/>
                      <w:szCs w:val="18"/>
                    </w:rPr>
                    <w:drawing>
                      <wp:inline distT="0" distB="0" distL="0" distR="0">
                        <wp:extent cx="515339" cy="534390"/>
                        <wp:effectExtent l="19050" t="0" r="0" b="0"/>
                        <wp:docPr id="43489445" name="Imagem 10"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ara_verde.png"/>
                                <pic:cNvPicPr>
                                  <a:picLocks noChangeAspect="1" noChangeArrowheads="1"/>
                                </pic:cNvPicPr>
                              </pic:nvPicPr>
                              <pic:blipFill>
                                <a:blip r:embed="rId11"/>
                                <a:srcRect/>
                                <a:stretch>
                                  <a:fillRect/>
                                </a:stretch>
                              </pic:blipFill>
                              <pic:spPr bwMode="auto">
                                <a:xfrm>
                                  <a:off x="0" y="0"/>
                                  <a:ext cx="515609" cy="534670"/>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94,00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p>
    <w:p w:rsidR="0047545A" w:rsidRDefault="008E0DDB" w:rsidP="0047545A">
      <w:pPr>
        <w:rPr>
          <w:rFonts w:ascii="Arial" w:hAnsi="Arial" w:cs="Arial"/>
          <w:b/>
          <w:bCs/>
          <w:color w:val="943634"/>
        </w:rPr>
      </w:pPr>
      <w:r w:rsidRPr="008E0DDB">
        <w:rPr>
          <w:rFonts w:ascii="Arial" w:hAnsi="Arial" w:cs="Arial"/>
          <w:b/>
          <w:noProof/>
          <w:color w:val="00B050"/>
          <w:sz w:val="20"/>
          <w:szCs w:val="20"/>
        </w:rPr>
        <w:pict>
          <v:shape id="_x0000_s1353" type="#_x0000_t202" style="position:absolute;margin-left:-21.6pt;margin-top:6.85pt;width:55.9pt;height:90.95pt;z-index:251789824;mso-width-relative:margin;mso-height-relative:margin" fillcolor="#ff6" strokecolor="#f2f2f2">
            <v:textbox style="layout-flow:vertical;mso-layout-flow-alt:bottom-to-top;mso-next-textbox:#_x0000_s1353">
              <w:txbxContent>
                <w:p w:rsidR="00E92D98" w:rsidRPr="000D3670" w:rsidRDefault="00E92D98" w:rsidP="0047545A">
                  <w:pPr>
                    <w:jc w:val="center"/>
                    <w:rPr>
                      <w:rFonts w:ascii="Arial" w:hAnsi="Arial" w:cs="Arial"/>
                      <w:b/>
                      <w:sz w:val="16"/>
                      <w:szCs w:val="16"/>
                    </w:rPr>
                  </w:pPr>
                  <w:r w:rsidRPr="000D3670">
                    <w:rPr>
                      <w:rFonts w:ascii="Arial" w:hAnsi="Arial" w:cs="Arial"/>
                      <w:b/>
                      <w:sz w:val="14"/>
                      <w:szCs w:val="14"/>
                    </w:rPr>
                    <w:t xml:space="preserve">R.02-B Proporção de efluente doméstico coletado em relação </w:t>
                  </w:r>
                  <w:r w:rsidRPr="000D3670">
                    <w:rPr>
                      <w:rFonts w:ascii="Arial" w:hAnsi="Arial" w:cs="Arial"/>
                      <w:b/>
                      <w:sz w:val="16"/>
                      <w:szCs w:val="16"/>
                    </w:rPr>
                    <w:t>ao efluente doméstico total gerado (%)</w:t>
                  </w:r>
                </w:p>
              </w:txbxContent>
            </v:textbox>
          </v:shape>
        </w:pict>
      </w:r>
    </w:p>
    <w:p w:rsidR="0047545A" w:rsidRDefault="008E0DDB" w:rsidP="0047545A">
      <w:pPr>
        <w:jc w:val="center"/>
        <w:rPr>
          <w:rFonts w:ascii="Arial" w:hAnsi="Arial" w:cs="Arial"/>
          <w:b/>
          <w:bCs/>
          <w:color w:val="943634"/>
        </w:rPr>
      </w:pPr>
      <w:r w:rsidRPr="008E0DDB">
        <w:rPr>
          <w:rFonts w:ascii="Arial" w:hAnsi="Arial" w:cs="Arial"/>
          <w:b/>
          <w:noProof/>
          <w:color w:val="00B050"/>
          <w:sz w:val="20"/>
          <w:szCs w:val="20"/>
        </w:rPr>
        <w:pict>
          <v:shape id="_x0000_s1354" type="#_x0000_t202" style="position:absolute;left:0;text-align:left;margin-left:302.35pt;margin-top:-.4pt;width:206.95pt;height:77pt;z-index:251790848;mso-width-relative:margin;mso-height-relative:margin" strokecolor="#f2f2f2">
            <v:textbox style="mso-next-textbox:#_x0000_s1354">
              <w:txbxContent>
                <w:p w:rsidR="00E92D98" w:rsidRPr="000D3670" w:rsidRDefault="00E92D98" w:rsidP="0047545A">
                  <w:pPr>
                    <w:spacing w:line="240" w:lineRule="atLeast"/>
                    <w:jc w:val="center"/>
                    <w:rPr>
                      <w:rFonts w:ascii="Arial" w:hAnsi="Arial" w:cs="Arial"/>
                      <w:sz w:val="16"/>
                      <w:szCs w:val="16"/>
                    </w:rPr>
                  </w:pPr>
                  <w:r w:rsidRPr="000D3670">
                    <w:rPr>
                      <w:rFonts w:ascii="Arial" w:hAnsi="Arial" w:cs="Arial"/>
                      <w:sz w:val="16"/>
                      <w:szCs w:val="16"/>
                    </w:rPr>
                    <w:t>Houve melhora neste indicador, entretanto mantendo a classificação da UGRHI 08 como "BOM", bem acima da média do Estado de 86%.  Dentre os municípios da bacia, Igarapava apresentou o menor índice de 91%, ainda acima da média do Estado.</w:t>
                  </w:r>
                </w:p>
              </w:txbxContent>
            </v:textbox>
          </v:shape>
        </w:pict>
      </w:r>
    </w:p>
    <w:p w:rsidR="0047545A" w:rsidRDefault="0047545A" w:rsidP="0047545A">
      <w:pPr>
        <w:jc w:val="center"/>
        <w:rPr>
          <w:rFonts w:ascii="Arial" w:hAnsi="Arial" w:cs="Arial"/>
          <w:b/>
          <w:bCs/>
          <w:color w:val="943634"/>
        </w:rPr>
      </w:pPr>
    </w:p>
    <w:p w:rsidR="0047545A" w:rsidRDefault="0047545A" w:rsidP="0047545A">
      <w:pPr>
        <w:jc w:val="center"/>
        <w:rPr>
          <w:rFonts w:ascii="Arial" w:hAnsi="Arial" w:cs="Arial"/>
          <w:b/>
          <w:bCs/>
          <w:color w:val="943634"/>
        </w:rPr>
      </w:pPr>
    </w:p>
    <w:p w:rsidR="0047545A" w:rsidRDefault="0047545A" w:rsidP="0047545A">
      <w:pPr>
        <w:jc w:val="both"/>
        <w:rPr>
          <w:rFonts w:ascii="Arial" w:hAnsi="Arial" w:cs="Arial"/>
          <w:b/>
          <w:bCs/>
          <w:color w:val="943634"/>
          <w:sz w:val="20"/>
          <w:szCs w:val="20"/>
        </w:rPr>
      </w:pPr>
    </w:p>
    <w:p w:rsidR="001B71D1" w:rsidRDefault="001B71D1" w:rsidP="0047545A">
      <w:pPr>
        <w:jc w:val="both"/>
        <w:rPr>
          <w:rFonts w:ascii="Arial" w:hAnsi="Arial" w:cs="Arial"/>
          <w:b/>
          <w:bCs/>
          <w:color w:val="943634"/>
          <w:sz w:val="20"/>
          <w:szCs w:val="20"/>
        </w:rPr>
      </w:pPr>
    </w:p>
    <w:p w:rsidR="001B71D1" w:rsidRDefault="001B71D1" w:rsidP="0047545A">
      <w:pPr>
        <w:jc w:val="both"/>
        <w:rPr>
          <w:rFonts w:ascii="Arial" w:hAnsi="Arial" w:cs="Arial"/>
          <w:b/>
          <w:bCs/>
          <w:color w:val="943634"/>
          <w:sz w:val="20"/>
          <w:szCs w:val="20"/>
        </w:rPr>
      </w:pPr>
    </w:p>
    <w:p w:rsidR="001B71D1" w:rsidRDefault="001B71D1" w:rsidP="0047545A">
      <w:pPr>
        <w:jc w:val="both"/>
        <w:rPr>
          <w:rFonts w:ascii="Arial" w:hAnsi="Arial" w:cs="Arial"/>
          <w:b/>
          <w:bCs/>
          <w:color w:val="943634"/>
          <w:sz w:val="20"/>
          <w:szCs w:val="20"/>
        </w:rPr>
      </w:pPr>
    </w:p>
    <w:p w:rsidR="001B71D1" w:rsidRDefault="001B71D1" w:rsidP="0047545A">
      <w:pPr>
        <w:jc w:val="both"/>
        <w:rPr>
          <w:rFonts w:ascii="Arial" w:hAnsi="Arial" w:cs="Arial"/>
          <w:b/>
          <w:bCs/>
          <w:color w:val="943634"/>
          <w:sz w:val="20"/>
          <w:szCs w:val="20"/>
        </w:rPr>
      </w:pPr>
    </w:p>
    <w:p w:rsidR="001B71D1" w:rsidRPr="00190436" w:rsidRDefault="001B71D1" w:rsidP="0047545A">
      <w:pPr>
        <w:jc w:val="both"/>
        <w:rPr>
          <w:rFonts w:ascii="Arial" w:hAnsi="Arial" w:cs="Arial"/>
          <w:b/>
          <w:bCs/>
          <w:color w:val="943634"/>
          <w:sz w:val="20"/>
          <w:szCs w:val="20"/>
        </w:rPr>
      </w:pP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431" type="#_x0000_t202" style="position:absolute;left:0;text-align:left;margin-left:-21.6pt;margin-top:-4.4pt;width:530.9pt;height:20.2pt;z-index:251869696;mso-width-relative:margin;mso-height-relative:margin" fillcolor="#d8d8d8" strokecolor="white">
            <v:textbox style="mso-next-textbox:#_x0000_s1431">
              <w:txbxContent>
                <w:p w:rsidR="00E92D98" w:rsidRPr="005875D4" w:rsidRDefault="00E92D98" w:rsidP="0047545A">
                  <w:pPr>
                    <w:jc w:val="center"/>
                    <w:rPr>
                      <w:rFonts w:ascii="Arial" w:hAnsi="Arial" w:cs="Arial"/>
                      <w:b/>
                      <w:bCs/>
                      <w:color w:val="00B050"/>
                      <w:sz w:val="20"/>
                      <w:szCs w:val="20"/>
                    </w:rPr>
                  </w:pPr>
                  <w:r w:rsidRPr="005875D4">
                    <w:rPr>
                      <w:rFonts w:ascii="Arial" w:hAnsi="Arial" w:cs="Arial"/>
                      <w:b/>
                      <w:bCs/>
                      <w:color w:val="00B050"/>
                      <w:sz w:val="20"/>
                      <w:szCs w:val="20"/>
                    </w:rPr>
                    <w:t>RESPOSTA: Controle de Poluição</w:t>
                  </w:r>
                </w:p>
                <w:p w:rsidR="00E92D98" w:rsidRPr="00826C1D" w:rsidRDefault="00E92D98" w:rsidP="0047545A">
                  <w:pPr>
                    <w:rPr>
                      <w:szCs w:val="18"/>
                    </w:rPr>
                  </w:pPr>
                </w:p>
              </w:txbxContent>
            </v:textbox>
          </v:shape>
        </w:pict>
      </w:r>
      <w:r>
        <w:rPr>
          <w:rFonts w:ascii="Arial" w:hAnsi="Arial" w:cs="Arial"/>
          <w:b/>
          <w:noProof/>
          <w:sz w:val="20"/>
          <w:szCs w:val="20"/>
        </w:rPr>
        <w:pict>
          <v:shape id="_x0000_s1430" type="#_x0000_t202" style="position:absolute;left:0;text-align:left;margin-left:-21.6pt;margin-top:22.25pt;width:55.9pt;height:27.85pt;z-index:251868672;mso-width-relative:margin;mso-height-relative:margin" fillcolor="#d8d8d8" strokecolor="white">
            <v:textbox style="mso-next-textbox:#_x0000_s1430">
              <w:txbxContent>
                <w:p w:rsidR="00E92D98" w:rsidRPr="005875D4" w:rsidRDefault="00E92D98" w:rsidP="0047545A">
                  <w:pPr>
                    <w:spacing w:before="40"/>
                    <w:rPr>
                      <w:color w:val="00B050"/>
                      <w:sz w:val="16"/>
                      <w:szCs w:val="16"/>
                    </w:rPr>
                  </w:pPr>
                  <w:r w:rsidRPr="005875D4">
                    <w:rPr>
                      <w:rFonts w:ascii="Arial" w:hAnsi="Arial" w:cs="Arial"/>
                      <w:b/>
                      <w:bCs/>
                      <w:color w:val="00B050"/>
                      <w:sz w:val="16"/>
                      <w:szCs w:val="16"/>
                    </w:rPr>
                    <w:t>Grandeza/ Parâmetro</w:t>
                  </w:r>
                </w:p>
              </w:txbxContent>
            </v:textbox>
          </v:shape>
        </w:pict>
      </w:r>
      <w:r>
        <w:rPr>
          <w:rFonts w:ascii="Arial" w:hAnsi="Arial" w:cs="Arial"/>
          <w:b/>
          <w:noProof/>
          <w:sz w:val="20"/>
          <w:szCs w:val="20"/>
        </w:rPr>
        <w:pict>
          <v:shape id="_x0000_s1433" type="#_x0000_t202" style="position:absolute;left:0;text-align:left;margin-left:46.3pt;margin-top:56.5pt;width:240.35pt;height:27.85pt;z-index:251871744;mso-width-relative:margin;mso-height-relative:margin" fillcolor="#d8d8d8" strokecolor="white">
            <v:textbox style="mso-next-textbox:#_x0000_s1433">
              <w:txbxContent>
                <w:p w:rsidR="00E92D98" w:rsidRPr="002250E3" w:rsidRDefault="00E92D98" w:rsidP="0047545A">
                  <w:pPr>
                    <w:spacing w:before="60"/>
                    <w:rPr>
                      <w:color w:val="00B050"/>
                      <w:sz w:val="18"/>
                      <w:szCs w:val="18"/>
                    </w:rPr>
                  </w:pPr>
                  <w:r w:rsidRPr="002250E3">
                    <w:rPr>
                      <w:rFonts w:ascii="Arial" w:hAnsi="Arial" w:cs="Arial"/>
                      <w:b/>
                      <w:bCs/>
                      <w:color w:val="00B050"/>
                      <w:sz w:val="16"/>
                      <w:szCs w:val="16"/>
                    </w:rPr>
                    <w:t xml:space="preserve">      </w:t>
                  </w:r>
                  <w:r w:rsidRPr="002250E3">
                    <w:rPr>
                      <w:rFonts w:ascii="Arial" w:hAnsi="Arial" w:cs="Arial"/>
                      <w:b/>
                      <w:bCs/>
                      <w:color w:val="00B050"/>
                      <w:sz w:val="18"/>
                      <w:szCs w:val="18"/>
                    </w:rPr>
                    <w:t>2007</w:t>
                  </w:r>
                  <w:r w:rsidRPr="002250E3">
                    <w:rPr>
                      <w:rFonts w:ascii="Arial" w:hAnsi="Arial" w:cs="Arial"/>
                      <w:b/>
                      <w:bCs/>
                      <w:color w:val="00B050"/>
                      <w:sz w:val="18"/>
                      <w:szCs w:val="18"/>
                    </w:rPr>
                    <w:tab/>
                    <w:t xml:space="preserve">                2008               2009                 2010</w:t>
                  </w:r>
                  <w:r w:rsidRPr="002250E3">
                    <w:rPr>
                      <w:rFonts w:ascii="Arial" w:hAnsi="Arial" w:cs="Arial"/>
                      <w:b/>
                      <w:bCs/>
                      <w:color w:val="00B050"/>
                      <w:sz w:val="18"/>
                      <w:szCs w:val="18"/>
                    </w:rPr>
                    <w:tab/>
                  </w:r>
                  <w:r w:rsidRPr="002250E3">
                    <w:rPr>
                      <w:rFonts w:ascii="Arial" w:hAnsi="Arial" w:cs="Arial"/>
                      <w:b/>
                      <w:bCs/>
                      <w:color w:val="00B050"/>
                      <w:sz w:val="18"/>
                      <w:szCs w:val="18"/>
                    </w:rPr>
                    <w:tab/>
                  </w:r>
                  <w:r w:rsidRPr="002250E3">
                    <w:rPr>
                      <w:rFonts w:ascii="Arial" w:hAnsi="Arial" w:cs="Arial"/>
                      <w:b/>
                      <w:bCs/>
                      <w:color w:val="00B050"/>
                      <w:sz w:val="18"/>
                      <w:szCs w:val="18"/>
                    </w:rPr>
                    <w:tab/>
                  </w:r>
                  <w:r w:rsidRPr="002250E3">
                    <w:rPr>
                      <w:rFonts w:ascii="Arial" w:hAnsi="Arial" w:cs="Arial"/>
                      <w:b/>
                      <w:bCs/>
                      <w:color w:val="00B050"/>
                      <w:sz w:val="18"/>
                      <w:szCs w:val="18"/>
                    </w:rPr>
                    <w:tab/>
                  </w:r>
                </w:p>
              </w:txbxContent>
            </v:textbox>
          </v:shape>
        </w:pict>
      </w:r>
      <w:r>
        <w:rPr>
          <w:rFonts w:ascii="Arial" w:hAnsi="Arial" w:cs="Arial"/>
          <w:b/>
          <w:noProof/>
          <w:sz w:val="20"/>
          <w:szCs w:val="20"/>
        </w:rPr>
        <w:pict>
          <v:shape id="_x0000_s1432" type="#_x0000_t202" style="position:absolute;left:0;text-align:left;margin-left:46.3pt;margin-top:22.25pt;width:463pt;height:27.85pt;z-index:251870720;mso-width-relative:margin;mso-height-relative:margin" fillcolor="#d8d8d8" strokecolor="white">
            <v:textbox style="mso-next-textbox:#_x0000_s1432">
              <w:txbxContent>
                <w:p w:rsidR="00E92D98" w:rsidRPr="005875D4" w:rsidRDefault="00E92D98" w:rsidP="0047545A">
                  <w:pPr>
                    <w:spacing w:before="60"/>
                    <w:rPr>
                      <w:color w:val="00B050"/>
                      <w:sz w:val="16"/>
                      <w:szCs w:val="16"/>
                    </w:rPr>
                  </w:pPr>
                  <w:r w:rsidRPr="005875D4">
                    <w:rPr>
                      <w:rFonts w:ascii="Arial" w:hAnsi="Arial" w:cs="Arial"/>
                      <w:b/>
                      <w:bCs/>
                      <w:color w:val="00B050"/>
                      <w:sz w:val="18"/>
                      <w:szCs w:val="18"/>
                    </w:rPr>
                    <w:t xml:space="preserve">                           </w:t>
                  </w:r>
                  <w:r w:rsidRPr="005875D4">
                    <w:rPr>
                      <w:rFonts w:ascii="Arial" w:hAnsi="Arial" w:cs="Arial"/>
                      <w:b/>
                      <w:bCs/>
                      <w:color w:val="00B050"/>
                      <w:sz w:val="16"/>
                      <w:szCs w:val="16"/>
                    </w:rPr>
                    <w:t xml:space="preserve">Apresentação dos dados </w:t>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t>Comentário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B46C8D"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461" type="#_x0000_t202" style="position:absolute;left:0;text-align:left;margin-left:231.5pt;margin-top:16.25pt;width:55.85pt;height:101pt;z-index:251894272;mso-width-relative:margin;mso-height-relative:margin" fillcolor="#cfc" strokecolor="white">
            <v:textbox style="mso-next-textbox:#_x0000_s1461">
              <w:txbxContent>
                <w:p w:rsidR="00E92D98" w:rsidRDefault="00E92D98" w:rsidP="00B46C8D">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43489622" name="Imagem 23"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B46C8D">
                  <w:pPr>
                    <w:jc w:val="center"/>
                    <w:rPr>
                      <w:rFonts w:ascii="Arial" w:hAnsi="Arial" w:cs="Arial"/>
                      <w:b/>
                      <w:sz w:val="18"/>
                      <w:szCs w:val="18"/>
                    </w:rPr>
                  </w:pPr>
                  <w:r>
                    <w:rPr>
                      <w:rFonts w:ascii="Arial" w:hAnsi="Arial" w:cs="Arial"/>
                      <w:b/>
                      <w:sz w:val="18"/>
                      <w:szCs w:val="18"/>
                    </w:rPr>
                    <w:t>80,60</w:t>
                  </w: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Pr="0097330E" w:rsidRDefault="00E92D98" w:rsidP="00B46C8D">
                  <w:pPr>
                    <w:jc w:val="center"/>
                    <w:rPr>
                      <w:rFonts w:ascii="Arial" w:hAnsi="Arial" w:cs="Arial"/>
                      <w:b/>
                      <w:sz w:val="18"/>
                      <w:szCs w:val="18"/>
                    </w:rPr>
                  </w:pPr>
                  <w:r>
                    <w:rPr>
                      <w:rFonts w:ascii="Arial" w:hAnsi="Arial" w:cs="Arial"/>
                      <w:b/>
                      <w:sz w:val="18"/>
                      <w:szCs w:val="18"/>
                    </w:rPr>
                    <w:t>6872,00</w:t>
                  </w:r>
                </w:p>
                <w:p w:rsidR="00E92D98" w:rsidRPr="00252C84" w:rsidRDefault="00E92D98" w:rsidP="00B46C8D"/>
              </w:txbxContent>
            </v:textbox>
          </v:shape>
        </w:pict>
      </w:r>
      <w:r>
        <w:rPr>
          <w:rFonts w:ascii="Arial" w:hAnsi="Arial" w:cs="Arial"/>
          <w:b/>
          <w:noProof/>
          <w:sz w:val="20"/>
          <w:szCs w:val="20"/>
        </w:rPr>
        <w:pict>
          <v:shape id="_x0000_s1460" type="#_x0000_t202" style="position:absolute;left:0;text-align:left;margin-left:168.4pt;margin-top:16.25pt;width:55.85pt;height:101pt;z-index:251893248;mso-width-relative:margin;mso-height-relative:margin" fillcolor="#cfc" strokecolor="white">
            <v:textbox style="mso-next-textbox:#_x0000_s1460">
              <w:txbxContent>
                <w:p w:rsidR="00E92D98" w:rsidRDefault="00E92D98" w:rsidP="00B46C8D">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43489621" name="Imagem 22"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B46C8D">
                  <w:pPr>
                    <w:jc w:val="center"/>
                    <w:rPr>
                      <w:rFonts w:ascii="Arial" w:hAnsi="Arial" w:cs="Arial"/>
                      <w:b/>
                      <w:sz w:val="18"/>
                      <w:szCs w:val="18"/>
                    </w:rPr>
                  </w:pPr>
                  <w:r>
                    <w:rPr>
                      <w:rFonts w:ascii="Arial" w:hAnsi="Arial" w:cs="Arial"/>
                      <w:b/>
                      <w:sz w:val="18"/>
                      <w:szCs w:val="18"/>
                    </w:rPr>
                    <w:t>72,00</w:t>
                  </w: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Pr="0097330E" w:rsidRDefault="00E92D98" w:rsidP="00B46C8D">
                  <w:pPr>
                    <w:jc w:val="center"/>
                    <w:rPr>
                      <w:rFonts w:ascii="Arial" w:hAnsi="Arial" w:cs="Arial"/>
                      <w:b/>
                      <w:sz w:val="18"/>
                      <w:szCs w:val="18"/>
                    </w:rPr>
                  </w:pPr>
                  <w:r>
                    <w:rPr>
                      <w:rFonts w:ascii="Arial" w:hAnsi="Arial" w:cs="Arial"/>
                      <w:b/>
                      <w:sz w:val="18"/>
                      <w:szCs w:val="18"/>
                    </w:rPr>
                    <w:t>6640,00</w:t>
                  </w:r>
                </w:p>
                <w:p w:rsidR="00E92D98" w:rsidRPr="00252C84" w:rsidRDefault="00E92D98" w:rsidP="00B46C8D"/>
              </w:txbxContent>
            </v:textbox>
          </v:shape>
        </w:pict>
      </w:r>
      <w:r>
        <w:rPr>
          <w:rFonts w:ascii="Arial" w:hAnsi="Arial" w:cs="Arial"/>
          <w:b/>
          <w:noProof/>
          <w:sz w:val="20"/>
          <w:szCs w:val="20"/>
        </w:rPr>
        <w:pict>
          <v:shape id="_x0000_s1459" type="#_x0000_t202" style="position:absolute;left:0;text-align:left;margin-left:107.7pt;margin-top:16.25pt;width:55.85pt;height:101pt;z-index:251892224;mso-width-relative:margin;mso-height-relative:margin" fillcolor="#cfc" strokecolor="white">
            <v:textbox style="mso-next-textbox:#_x0000_s1459">
              <w:txbxContent>
                <w:p w:rsidR="00E92D98" w:rsidRDefault="00E92D98" w:rsidP="00B46C8D">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43489620" name="Imagem 21"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Pr="00D36849" w:rsidRDefault="00E92D98" w:rsidP="00B46C8D">
                  <w:pPr>
                    <w:jc w:val="center"/>
                    <w:rPr>
                      <w:rFonts w:ascii="Arial" w:hAnsi="Arial" w:cs="Arial"/>
                      <w:b/>
                      <w:sz w:val="18"/>
                      <w:szCs w:val="18"/>
                    </w:rPr>
                  </w:pPr>
                  <w:r w:rsidRPr="00D36849">
                    <w:rPr>
                      <w:rFonts w:ascii="Arial" w:hAnsi="Arial" w:cs="Arial"/>
                      <w:b/>
                      <w:sz w:val="18"/>
                      <w:szCs w:val="18"/>
                    </w:rPr>
                    <w:t>NA</w:t>
                  </w: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Pr="0097330E" w:rsidRDefault="00E92D98" w:rsidP="00B46C8D">
                  <w:pPr>
                    <w:jc w:val="center"/>
                    <w:rPr>
                      <w:rFonts w:ascii="Arial" w:hAnsi="Arial" w:cs="Arial"/>
                      <w:b/>
                      <w:sz w:val="18"/>
                      <w:szCs w:val="18"/>
                    </w:rPr>
                  </w:pPr>
                  <w:r>
                    <w:rPr>
                      <w:rFonts w:ascii="Arial" w:hAnsi="Arial" w:cs="Arial"/>
                      <w:b/>
                      <w:sz w:val="18"/>
                      <w:szCs w:val="18"/>
                    </w:rPr>
                    <w:t>6728,00</w:t>
                  </w:r>
                </w:p>
                <w:p w:rsidR="00E92D98" w:rsidRPr="00252C84" w:rsidRDefault="00E92D98" w:rsidP="00B46C8D"/>
              </w:txbxContent>
            </v:textbox>
          </v:shape>
        </w:pict>
      </w:r>
      <w:r>
        <w:rPr>
          <w:rFonts w:ascii="Arial" w:hAnsi="Arial" w:cs="Arial"/>
          <w:b/>
          <w:noProof/>
          <w:sz w:val="20"/>
          <w:szCs w:val="20"/>
        </w:rPr>
        <w:pict>
          <v:shape id="_x0000_s1458" type="#_x0000_t202" style="position:absolute;left:0;text-align:left;margin-left:47pt;margin-top:16.25pt;width:55.85pt;height:101pt;z-index:251891200;mso-width-relative:margin;mso-height-relative:margin" fillcolor="#cfc" strokecolor="white">
            <v:textbox style="mso-next-textbox:#_x0000_s1458">
              <w:txbxContent>
                <w:p w:rsidR="00E92D98" w:rsidRDefault="00E92D98" w:rsidP="00B46C8D">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43489619" name="Imagem 20"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B46C8D">
                  <w:pPr>
                    <w:jc w:val="center"/>
                    <w:rPr>
                      <w:rFonts w:ascii="Arial" w:hAnsi="Arial" w:cs="Arial"/>
                      <w:b/>
                      <w:sz w:val="18"/>
                      <w:szCs w:val="18"/>
                    </w:rPr>
                  </w:pPr>
                  <w:r>
                    <w:rPr>
                      <w:rFonts w:ascii="Arial" w:hAnsi="Arial" w:cs="Arial"/>
                      <w:b/>
                      <w:sz w:val="18"/>
                      <w:szCs w:val="18"/>
                    </w:rPr>
                    <w:t>70,00</w:t>
                  </w: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Default="00E92D98" w:rsidP="00B46C8D">
                  <w:pPr>
                    <w:jc w:val="center"/>
                    <w:rPr>
                      <w:rFonts w:ascii="Arial" w:hAnsi="Arial" w:cs="Arial"/>
                      <w:b/>
                      <w:sz w:val="18"/>
                      <w:szCs w:val="18"/>
                    </w:rPr>
                  </w:pPr>
                </w:p>
                <w:p w:rsidR="00E92D98" w:rsidRPr="0097330E" w:rsidRDefault="00E92D98" w:rsidP="00B46C8D">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57" type="#_x0000_t202" style="position:absolute;left:0;text-align:left;margin-left:-20.4pt;margin-top:15.35pt;width:55.4pt;height:101.9pt;z-index:251890176;mso-width-relative:margin;mso-height-relative:margin" fillcolor="#ff6" strokecolor="#f2f2f2">
            <v:textbox style="layout-flow:vertical;mso-layout-flow-alt:bottom-to-top;mso-next-textbox:#_x0000_s1457">
              <w:txbxContent>
                <w:p w:rsidR="00E92D98" w:rsidRPr="00061215" w:rsidRDefault="00E92D98" w:rsidP="00B46C8D">
                  <w:pPr>
                    <w:jc w:val="center"/>
                    <w:rPr>
                      <w:rFonts w:ascii="Arial" w:hAnsi="Arial" w:cs="Arial"/>
                      <w:b/>
                      <w:sz w:val="16"/>
                      <w:szCs w:val="16"/>
                    </w:rPr>
                  </w:pPr>
                  <w:r w:rsidRPr="00061215">
                    <w:rPr>
                      <w:rFonts w:ascii="Arial" w:hAnsi="Arial" w:cs="Arial"/>
                      <w:b/>
                      <w:sz w:val="14"/>
                      <w:szCs w:val="14"/>
                    </w:rPr>
                    <w:t xml:space="preserve">R.02-C Proporção de efluente doméstico tratado em relação ao </w:t>
                  </w:r>
                  <w:r w:rsidRPr="00061215">
                    <w:rPr>
                      <w:rFonts w:ascii="Arial" w:hAnsi="Arial" w:cs="Arial"/>
                      <w:b/>
                      <w:sz w:val="16"/>
                      <w:szCs w:val="16"/>
                    </w:rPr>
                    <w:t>efluente doméstico total gerado (%)</w:t>
                  </w:r>
                </w:p>
              </w:txbxContent>
            </v:textbox>
          </v:shape>
        </w:pict>
      </w:r>
      <w:r>
        <w:rPr>
          <w:rFonts w:ascii="Arial" w:hAnsi="Arial" w:cs="Arial"/>
          <w:b/>
          <w:noProof/>
          <w:sz w:val="20"/>
          <w:szCs w:val="20"/>
        </w:rPr>
        <w:pict>
          <v:shape id="_x0000_s1456" type="#_x0000_t202" style="position:absolute;left:0;text-align:left;margin-left:302.95pt;margin-top:15.35pt;width:206.95pt;height:101.9pt;z-index:251889152;mso-width-relative:margin;mso-height-relative:margin" strokecolor="#f2f2f2">
            <v:textbox style="mso-next-textbox:#_x0000_s1456">
              <w:txbxContent>
                <w:p w:rsidR="00E92D98" w:rsidRPr="00000CC0" w:rsidRDefault="00E92D98" w:rsidP="00B46C8D">
                  <w:pPr>
                    <w:spacing w:line="240" w:lineRule="atLeast"/>
                    <w:jc w:val="center"/>
                    <w:rPr>
                      <w:rFonts w:ascii="Arial" w:hAnsi="Arial" w:cs="Arial"/>
                      <w:b/>
                      <w:sz w:val="16"/>
                      <w:szCs w:val="16"/>
                    </w:rPr>
                  </w:pPr>
                  <w:r w:rsidRPr="00061215">
                    <w:rPr>
                      <w:rFonts w:ascii="Arial" w:hAnsi="Arial" w:cs="Arial"/>
                      <w:sz w:val="16"/>
                      <w:szCs w:val="16"/>
                    </w:rPr>
                    <w:t xml:space="preserve">Houve melhora da proporção de efluentes tratados em relação ao total gerado, influenciado pelos investimentos técnicos e financeiros nas ETE's da bacia. Ressalta-se São Joaquim da Barra, sem Estação de Tratamento de Esgoto, apresentou índice zero. </w:t>
                  </w:r>
                  <w:r w:rsidRPr="00000CC0">
                    <w:rPr>
                      <w:rFonts w:ascii="Arial" w:hAnsi="Arial" w:cs="Arial"/>
                      <w:b/>
                      <w:sz w:val="16"/>
                      <w:szCs w:val="16"/>
                    </w:rPr>
                    <w:t>Sugere-se para a gestão a avaliação dos sistemas implantados e investimentos para implantação da ETE de São Joaquim da Barra.</w:t>
                  </w:r>
                </w:p>
              </w:txbxContent>
            </v:textbox>
          </v:shape>
        </w:pict>
      </w:r>
    </w:p>
    <w:p w:rsidR="00B46C8D" w:rsidRDefault="00B46C8D" w:rsidP="0047545A">
      <w:pPr>
        <w:pStyle w:val="Corpodetexto"/>
        <w:spacing w:line="360" w:lineRule="auto"/>
        <w:rPr>
          <w:rFonts w:ascii="Arial" w:hAnsi="Arial" w:cs="Arial"/>
          <w:b/>
          <w:noProof/>
          <w:sz w:val="20"/>
          <w:szCs w:val="20"/>
        </w:rPr>
      </w:pPr>
    </w:p>
    <w:p w:rsidR="00B46C8D" w:rsidRDefault="00B46C8D" w:rsidP="0047545A">
      <w:pPr>
        <w:pStyle w:val="Corpodetexto"/>
        <w:spacing w:line="360" w:lineRule="auto"/>
        <w:rPr>
          <w:rFonts w:ascii="Arial" w:hAnsi="Arial" w:cs="Arial"/>
          <w:b/>
          <w:noProof/>
          <w:sz w:val="20"/>
          <w:szCs w:val="20"/>
        </w:rPr>
      </w:pPr>
    </w:p>
    <w:p w:rsidR="00B46C8D" w:rsidRDefault="00B46C8D" w:rsidP="0047545A">
      <w:pPr>
        <w:pStyle w:val="Corpodetexto"/>
        <w:spacing w:line="360" w:lineRule="auto"/>
        <w:rPr>
          <w:rFonts w:ascii="Arial" w:hAnsi="Arial" w:cs="Arial"/>
          <w:b/>
          <w:noProof/>
          <w:sz w:val="20"/>
          <w:szCs w:val="20"/>
        </w:rPr>
      </w:pPr>
    </w:p>
    <w:p w:rsidR="00B46C8D" w:rsidRDefault="00B46C8D" w:rsidP="0047545A">
      <w:pPr>
        <w:pStyle w:val="Corpodetexto"/>
        <w:spacing w:line="360" w:lineRule="auto"/>
        <w:rPr>
          <w:rFonts w:ascii="Arial" w:hAnsi="Arial" w:cs="Arial"/>
          <w:b/>
          <w:noProof/>
          <w:sz w:val="20"/>
          <w:szCs w:val="20"/>
        </w:rPr>
      </w:pPr>
    </w:p>
    <w:p w:rsidR="00B46C8D" w:rsidRDefault="00B46C8D" w:rsidP="0047545A">
      <w:pPr>
        <w:pStyle w:val="Corpodetexto"/>
        <w:spacing w:line="360" w:lineRule="auto"/>
        <w:rPr>
          <w:rFonts w:ascii="Arial" w:hAnsi="Arial" w:cs="Arial"/>
          <w:b/>
          <w:noProof/>
          <w:sz w:val="20"/>
          <w:szCs w:val="20"/>
        </w:rPr>
      </w:pPr>
    </w:p>
    <w:p w:rsidR="00B46C8D" w:rsidRDefault="00B46C8D"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56" type="#_x0000_t202" style="position:absolute;left:0;text-align:left;margin-left:-21.95pt;margin-top:15.35pt;width:56.25pt;height:92.35pt;z-index:251792896;mso-width-relative:margin;mso-height-relative:margin" fillcolor="#ff6" strokecolor="#f2f2f2">
            <v:textbox style="layout-flow:vertical;mso-layout-flow-alt:bottom-to-top;mso-next-textbox:#_x0000_s1356">
              <w:txbxContent>
                <w:p w:rsidR="00E92D98" w:rsidRPr="00DA6F9D" w:rsidRDefault="00E92D98" w:rsidP="0047545A">
                  <w:pPr>
                    <w:jc w:val="center"/>
                    <w:rPr>
                      <w:b/>
                      <w:sz w:val="16"/>
                      <w:szCs w:val="16"/>
                    </w:rPr>
                  </w:pPr>
                  <w:r w:rsidRPr="00DA6F9D">
                    <w:rPr>
                      <w:rFonts w:ascii="Arial" w:hAnsi="Arial" w:cs="Arial"/>
                      <w:b/>
                      <w:sz w:val="16"/>
                      <w:szCs w:val="16"/>
                    </w:rPr>
                    <w:t>R.02-D Proporção de redução da carga orgânica poluidora doméstica (%)</w:t>
                  </w:r>
                </w:p>
              </w:txbxContent>
            </v:textbox>
          </v:shape>
        </w:pict>
      </w:r>
      <w:r>
        <w:rPr>
          <w:rFonts w:ascii="Arial" w:hAnsi="Arial" w:cs="Arial"/>
          <w:b/>
          <w:noProof/>
          <w:sz w:val="20"/>
          <w:szCs w:val="20"/>
        </w:rPr>
        <w:pict>
          <v:shape id="_x0000_s1435" type="#_x0000_t202" style="position:absolute;left:0;text-align:left;margin-left:107pt;margin-top:15.35pt;width:55.85pt;height:82.15pt;z-index:251873792;mso-width-relative:margin;mso-height-relative:margin" fillcolor="#cfc" strokecolor="white">
            <v:textbox style="mso-next-textbox:#_x0000_s1435">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4" name="Imagem 21"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Pr="00DA6F9D" w:rsidRDefault="00E92D98" w:rsidP="0047545A">
                  <w:pPr>
                    <w:jc w:val="center"/>
                    <w:rPr>
                      <w:rFonts w:ascii="Arial" w:hAnsi="Arial" w:cs="Arial"/>
                      <w:b/>
                      <w:sz w:val="18"/>
                      <w:szCs w:val="18"/>
                    </w:rPr>
                  </w:pPr>
                  <w:r w:rsidRPr="00DA6F9D">
                    <w:rPr>
                      <w:rFonts w:ascii="Arial" w:hAnsi="Arial" w:cs="Arial"/>
                      <w:b/>
                      <w:sz w:val="18"/>
                      <w:szCs w:val="18"/>
                    </w:rPr>
                    <w:t>58,00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434" type="#_x0000_t202" style="position:absolute;left:0;text-align:left;margin-left:46.3pt;margin-top:15.35pt;width:55.85pt;height:82.15pt;z-index:251872768;mso-width-relative:margin;mso-height-relative:margin" fillcolor="#cfc" strokecolor="white">
            <v:textbox style="mso-next-textbox:#_x0000_s1434">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5" name="Imagem 20"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r>
                    <w:rPr>
                      <w:rFonts w:ascii="Arial" w:hAnsi="Arial" w:cs="Arial"/>
                      <w:b/>
                      <w:sz w:val="18"/>
                      <w:szCs w:val="18"/>
                    </w:rPr>
                    <w:t>62,87</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37" type="#_x0000_t202" style="position:absolute;left:0;text-align:left;margin-left:230.8pt;margin-top:15.35pt;width:55.85pt;height:82.15pt;z-index:251875840;mso-width-relative:margin;mso-height-relative:margin" fillcolor="#cfc" strokecolor="white">
            <v:textbox style="mso-next-textbox:#_x0000_s1437">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6" name="Imagem 23"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r>
                    <w:rPr>
                      <w:rFonts w:ascii="Arial" w:hAnsi="Arial" w:cs="Arial"/>
                      <w:b/>
                      <w:sz w:val="18"/>
                      <w:szCs w:val="18"/>
                    </w:rPr>
                    <w:t>73,80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436" type="#_x0000_t202" style="position:absolute;left:0;text-align:left;margin-left:167.7pt;margin-top:15.35pt;width:55.85pt;height:82.15pt;z-index:251874816;mso-width-relative:margin;mso-height-relative:margin" fillcolor="#cfc" strokecolor="white">
            <v:textbox style="mso-next-textbox:#_x0000_s1436">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7" name="Imagem 22"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r>
                    <w:rPr>
                      <w:rFonts w:ascii="Arial" w:hAnsi="Arial" w:cs="Arial"/>
                      <w:b/>
                      <w:sz w:val="18"/>
                      <w:szCs w:val="18"/>
                    </w:rPr>
                    <w:t>66,00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327" type="#_x0000_t202" style="position:absolute;left:0;text-align:left;margin-left:310.45pt;margin-top:15.35pt;width:198.85pt;height:81.95pt;z-index:251763200;mso-width-relative:margin;mso-height-relative:margin" strokecolor="#f2f2f2">
            <v:textbox style="mso-next-textbox:#_x0000_s1327">
              <w:txbxContent>
                <w:p w:rsidR="00E92D98" w:rsidRPr="00061215" w:rsidRDefault="00E92D98" w:rsidP="0047545A">
                  <w:pPr>
                    <w:spacing w:line="240" w:lineRule="atLeast"/>
                    <w:jc w:val="center"/>
                    <w:rPr>
                      <w:rFonts w:ascii="Arial" w:hAnsi="Arial" w:cs="Arial"/>
                      <w:sz w:val="16"/>
                      <w:szCs w:val="16"/>
                    </w:rPr>
                  </w:pPr>
                  <w:r w:rsidRPr="00061215">
                    <w:rPr>
                      <w:rFonts w:ascii="Arial" w:hAnsi="Arial" w:cs="Arial"/>
                      <w:sz w:val="16"/>
                      <w:szCs w:val="16"/>
                    </w:rPr>
                    <w:t xml:space="preserve">Verifica-se uma redução progressiva de carga orgânica poluidora na UGRHI 08, apresentando tendência de melhorar com o funcionamento das ETE de Batatais, Patrocínio Paulista e Ituverava.  </w:t>
                  </w:r>
                  <w:r w:rsidRPr="00AC7254">
                    <w:rPr>
                      <w:rFonts w:ascii="Arial" w:hAnsi="Arial" w:cs="Arial"/>
                      <w:b/>
                      <w:sz w:val="16"/>
                      <w:szCs w:val="16"/>
                    </w:rPr>
                    <w:t>Sugere-e avaliação da eficiência dos sistemas implantados.</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57" type="#_x0000_t202" style="position:absolute;left:0;text-align:left;margin-left:-21pt;margin-top:10.55pt;width:55.8pt;height:108.2pt;z-index:251793920;mso-width-relative:margin;mso-height-relative:margin" fillcolor="#ff6" strokecolor="#f2f2f2">
            <v:textbox style="layout-flow:vertical;mso-layout-flow-alt:bottom-to-top;mso-next-textbox:#_x0000_s1357">
              <w:txbxContent>
                <w:p w:rsidR="00E92D98" w:rsidRPr="00DA6F9D" w:rsidRDefault="00E92D98" w:rsidP="0047545A">
                  <w:pPr>
                    <w:jc w:val="center"/>
                    <w:rPr>
                      <w:rFonts w:ascii="Arial" w:hAnsi="Arial" w:cs="Arial"/>
                      <w:b/>
                      <w:sz w:val="16"/>
                      <w:szCs w:val="16"/>
                    </w:rPr>
                  </w:pPr>
                  <w:r w:rsidRPr="00DA6F9D">
                    <w:rPr>
                      <w:rFonts w:ascii="Arial" w:hAnsi="Arial" w:cs="Arial"/>
                      <w:b/>
                      <w:sz w:val="16"/>
                      <w:szCs w:val="16"/>
                    </w:rPr>
                    <w:t>R.02-E ICTEM - Proporção de municípios com ICTEM classificado como BOM</w:t>
                  </w:r>
                </w:p>
              </w:txbxContent>
            </v:textbox>
          </v:shape>
        </w:pict>
      </w:r>
      <w:r>
        <w:rPr>
          <w:rFonts w:ascii="Arial" w:hAnsi="Arial" w:cs="Arial"/>
          <w:b/>
          <w:noProof/>
          <w:sz w:val="20"/>
          <w:szCs w:val="20"/>
        </w:rPr>
        <w:pict>
          <v:shape id="_x0000_s1438" type="#_x0000_t202" style="position:absolute;left:0;text-align:left;margin-left:46.3pt;margin-top:10.55pt;width:55.85pt;height:108.2pt;z-index:251876864;mso-width-relative:margin;mso-height-relative:margin" fillcolor="#cfc" strokecolor="white">
            <v:textbox style="mso-next-textbox:#_x0000_s1438">
              <w:txbxContent>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NO</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6738,00</w:t>
                  </w:r>
                </w:p>
              </w:txbxContent>
            </v:textbox>
          </v:shape>
        </w:pict>
      </w:r>
      <w:r>
        <w:rPr>
          <w:rFonts w:ascii="Arial" w:hAnsi="Arial" w:cs="Arial"/>
          <w:b/>
          <w:noProof/>
          <w:sz w:val="20"/>
          <w:szCs w:val="20"/>
        </w:rPr>
        <w:pict>
          <v:shape id="_x0000_s1439" type="#_x0000_t202" style="position:absolute;left:0;text-align:left;margin-left:107pt;margin-top:10.55pt;width:55.85pt;height:108.2pt;z-index:251877888;mso-width-relative:margin;mso-height-relative:margin" fillcolor="#cfc" strokecolor="white">
            <v:textbox style="mso-next-textbox:#_x0000_s1439">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8" name="Imagem 21"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Pr="00DA6F9D" w:rsidRDefault="00E92D98" w:rsidP="0047545A">
                  <w:pPr>
                    <w:jc w:val="center"/>
                    <w:rPr>
                      <w:rFonts w:ascii="Arial" w:hAnsi="Arial" w:cs="Arial"/>
                      <w:b/>
                      <w:sz w:val="18"/>
                      <w:szCs w:val="18"/>
                    </w:rPr>
                  </w:pPr>
                  <w:r w:rsidRPr="00DA6F9D">
                    <w:rPr>
                      <w:rFonts w:ascii="Arial" w:hAnsi="Arial" w:cs="Arial"/>
                      <w:b/>
                      <w:sz w:val="18"/>
                      <w:szCs w:val="18"/>
                    </w:rPr>
                    <w:t>5</w:t>
                  </w:r>
                  <w:r>
                    <w:rPr>
                      <w:rFonts w:ascii="Arial" w:hAnsi="Arial" w:cs="Arial"/>
                      <w:b/>
                      <w:sz w:val="18"/>
                      <w:szCs w:val="18"/>
                    </w:rPr>
                    <w:t>9</w:t>
                  </w:r>
                  <w:r w:rsidRPr="00DA6F9D">
                    <w:rPr>
                      <w:rFonts w:ascii="Arial" w:hAnsi="Arial" w:cs="Arial"/>
                      <w:b/>
                      <w:sz w:val="18"/>
                      <w:szCs w:val="18"/>
                    </w:rPr>
                    <w:t>,0</w:t>
                  </w:r>
                  <w:r>
                    <w:rPr>
                      <w:rFonts w:ascii="Arial" w:hAnsi="Arial" w:cs="Arial"/>
                      <w:b/>
                      <w:sz w:val="18"/>
                      <w:szCs w:val="18"/>
                    </w:rPr>
                    <w:t>9</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6728,00</w:t>
                  </w:r>
                </w:p>
                <w:p w:rsidR="00E92D98" w:rsidRPr="00252C84" w:rsidRDefault="00E92D98" w:rsidP="0047545A"/>
              </w:txbxContent>
            </v:textbox>
          </v:shape>
        </w:pict>
      </w:r>
      <w:r>
        <w:rPr>
          <w:rFonts w:ascii="Arial" w:hAnsi="Arial" w:cs="Arial"/>
          <w:b/>
          <w:noProof/>
          <w:sz w:val="20"/>
          <w:szCs w:val="20"/>
        </w:rPr>
        <w:pict>
          <v:shape id="_x0000_s1440" type="#_x0000_t202" style="position:absolute;left:0;text-align:left;margin-left:167.7pt;margin-top:10.55pt;width:55.85pt;height:108.2pt;z-index:251878912;mso-width-relative:margin;mso-height-relative:margin" fillcolor="#cfc" strokecolor="white">
            <v:textbox style="mso-next-textbox:#_x0000_s1440">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59" name="Imagem 22"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81,82</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6640,00</w:t>
                  </w:r>
                </w:p>
                <w:p w:rsidR="00E92D98" w:rsidRPr="00252C84" w:rsidRDefault="00E92D98" w:rsidP="0047545A"/>
              </w:txbxContent>
            </v:textbox>
          </v:shape>
        </w:pict>
      </w:r>
      <w:r>
        <w:rPr>
          <w:rFonts w:ascii="Arial" w:hAnsi="Arial" w:cs="Arial"/>
          <w:b/>
          <w:noProof/>
          <w:sz w:val="20"/>
          <w:szCs w:val="20"/>
        </w:rPr>
        <w:pict>
          <v:shape id="_x0000_s1441" type="#_x0000_t202" style="position:absolute;left:0;text-align:left;margin-left:230.8pt;margin-top:10.55pt;width:55.85pt;height:108.2pt;z-index:251879936;mso-width-relative:margin;mso-height-relative:margin" fillcolor="#cfc" strokecolor="white">
            <v:textbox style="mso-next-textbox:#_x0000_s1441">
              <w:txbxContent>
                <w:p w:rsidR="00E92D98" w:rsidRDefault="00E92D98" w:rsidP="0047545A">
                  <w:pPr>
                    <w:jc w:val="center"/>
                    <w:rPr>
                      <w:rFonts w:ascii="Arial" w:hAnsi="Arial" w:cs="Arial"/>
                      <w:b/>
                      <w:sz w:val="18"/>
                      <w:szCs w:val="18"/>
                    </w:rPr>
                  </w:pPr>
                  <w:r>
                    <w:rPr>
                      <w:rFonts w:ascii="Arial" w:hAnsi="Arial" w:cs="Arial"/>
                      <w:b/>
                      <w:noProof/>
                      <w:sz w:val="18"/>
                      <w:szCs w:val="18"/>
                    </w:rPr>
                    <w:drawing>
                      <wp:inline distT="0" distB="0" distL="0" distR="0">
                        <wp:extent cx="522605" cy="522605"/>
                        <wp:effectExtent l="19050" t="0" r="0" b="0"/>
                        <wp:docPr id="60" name="Imagem 23"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cara_amarela.png"/>
                                <pic:cNvPicPr>
                                  <a:picLocks noChangeAspect="1" noChangeArrowheads="1"/>
                                </pic:cNvPicPr>
                              </pic:nvPicPr>
                              <pic:blipFill>
                                <a:blip r:embed="rId10"/>
                                <a:srcRect/>
                                <a:stretch>
                                  <a:fillRect/>
                                </a:stretch>
                              </pic:blipFill>
                              <pic:spPr bwMode="auto">
                                <a:xfrm>
                                  <a:off x="0" y="0"/>
                                  <a:ext cx="522605" cy="522605"/>
                                </a:xfrm>
                                <a:prstGeom prst="rect">
                                  <a:avLst/>
                                </a:prstGeom>
                                <a:noFill/>
                                <a:ln w="9525">
                                  <a:noFill/>
                                  <a:miter lim="800000"/>
                                  <a:headEnd/>
                                  <a:tailEnd/>
                                </a:ln>
                              </pic:spPr>
                            </pic:pic>
                          </a:graphicData>
                        </a:graphic>
                      </wp:inline>
                    </w:drawing>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r>
                    <w:rPr>
                      <w:rFonts w:ascii="Arial" w:hAnsi="Arial" w:cs="Arial"/>
                      <w:b/>
                      <w:sz w:val="18"/>
                      <w:szCs w:val="18"/>
                    </w:rPr>
                    <w:t>86,40</w:t>
                  </w: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Default="00E92D98" w:rsidP="0047545A">
                  <w:pPr>
                    <w:jc w:val="center"/>
                    <w:rPr>
                      <w:rFonts w:ascii="Arial" w:hAnsi="Arial" w:cs="Arial"/>
                      <w:b/>
                      <w:sz w:val="18"/>
                      <w:szCs w:val="18"/>
                    </w:rPr>
                  </w:pPr>
                </w:p>
                <w:p w:rsidR="00E92D98" w:rsidRPr="0097330E" w:rsidRDefault="00E92D98" w:rsidP="0047545A">
                  <w:pPr>
                    <w:jc w:val="center"/>
                    <w:rPr>
                      <w:rFonts w:ascii="Arial" w:hAnsi="Arial" w:cs="Arial"/>
                      <w:b/>
                      <w:sz w:val="18"/>
                      <w:szCs w:val="18"/>
                    </w:rPr>
                  </w:pPr>
                  <w:r>
                    <w:rPr>
                      <w:rFonts w:ascii="Arial" w:hAnsi="Arial" w:cs="Arial"/>
                      <w:b/>
                      <w:sz w:val="18"/>
                      <w:szCs w:val="18"/>
                    </w:rPr>
                    <w:t>6872,00</w:t>
                  </w:r>
                </w:p>
                <w:p w:rsidR="00E92D98" w:rsidRPr="00252C84" w:rsidRDefault="00E92D98" w:rsidP="0047545A"/>
              </w:txbxContent>
            </v:textbox>
          </v:shape>
        </w:pict>
      </w:r>
      <w:r>
        <w:rPr>
          <w:rFonts w:ascii="Arial" w:hAnsi="Arial" w:cs="Arial"/>
          <w:b/>
          <w:noProof/>
          <w:sz w:val="20"/>
          <w:szCs w:val="20"/>
        </w:rPr>
        <w:pict>
          <v:shape id="_x0000_s1358" type="#_x0000_t202" style="position:absolute;left:0;text-align:left;margin-left:310.45pt;margin-top:4.2pt;width:198.85pt;height:114.55pt;z-index:251794944;mso-width-relative:margin;mso-height-relative:margin" strokecolor="#f2f2f2">
            <v:textbox style="mso-next-textbox:#_x0000_s1358">
              <w:txbxContent>
                <w:p w:rsidR="00E92D98" w:rsidRPr="00DA6F9D" w:rsidRDefault="00E92D98" w:rsidP="0047545A">
                  <w:pPr>
                    <w:spacing w:line="240" w:lineRule="atLeast"/>
                    <w:jc w:val="center"/>
                    <w:rPr>
                      <w:rFonts w:ascii="Arial" w:hAnsi="Arial" w:cs="Arial"/>
                      <w:sz w:val="16"/>
                      <w:szCs w:val="16"/>
                    </w:rPr>
                  </w:pPr>
                  <w:r w:rsidRPr="00DA6F9D">
                    <w:rPr>
                      <w:rFonts w:ascii="Arial" w:hAnsi="Arial" w:cs="Arial"/>
                      <w:sz w:val="16"/>
                      <w:szCs w:val="16"/>
                    </w:rPr>
                    <w:t>De maneira global a eficácia do sistema de esgotamento sanitário da UGRHI 08 apresenta melhora significativa nestes últimos dois anos. Sendo ainda classificada como "REGULAR", acreditamos na melhora deste indicador com os investimentos realizados em Batatais, Patrocínio Paulista e Ituverava. Especial atenção ao município de São Joaquim da Barra sem tratamento e previsão para implantação da ETE.</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rPr>
          <w:rFonts w:ascii="Arial" w:hAnsi="Arial" w:cs="Arial"/>
          <w:b/>
          <w:bCs/>
          <w:color w:val="943634"/>
          <w:sz w:val="20"/>
          <w:szCs w:val="20"/>
        </w:rPr>
      </w:pPr>
      <w:r>
        <w:rPr>
          <w:rFonts w:ascii="Arial" w:hAnsi="Arial" w:cs="Arial"/>
          <w:b/>
          <w:bCs/>
          <w:noProof/>
          <w:color w:val="943634"/>
          <w:sz w:val="20"/>
          <w:szCs w:val="20"/>
        </w:rPr>
        <w:pict>
          <v:shape id="_x0000_s1442" type="#_x0000_t202" style="position:absolute;margin-left:46.3pt;margin-top:6.55pt;width:463pt;height:27.85pt;z-index:251880960;mso-width-relative:margin;mso-height-relative:margin" fillcolor="#d8d8d8" strokecolor="white">
            <v:textbox style="mso-next-textbox:#_x0000_s1442">
              <w:txbxContent>
                <w:p w:rsidR="00E92D98" w:rsidRPr="005875D4" w:rsidRDefault="00E92D98" w:rsidP="0047545A">
                  <w:pPr>
                    <w:spacing w:before="60"/>
                    <w:rPr>
                      <w:color w:val="00B050"/>
                      <w:sz w:val="16"/>
                      <w:szCs w:val="16"/>
                    </w:rPr>
                  </w:pPr>
                  <w:r w:rsidRPr="005875D4">
                    <w:rPr>
                      <w:rFonts w:ascii="Arial" w:hAnsi="Arial" w:cs="Arial"/>
                      <w:b/>
                      <w:bCs/>
                      <w:color w:val="00B050"/>
                      <w:sz w:val="18"/>
                      <w:szCs w:val="18"/>
                    </w:rPr>
                    <w:t xml:space="preserve">                           </w:t>
                  </w:r>
                  <w:r w:rsidRPr="005875D4">
                    <w:rPr>
                      <w:rFonts w:ascii="Arial" w:hAnsi="Arial" w:cs="Arial"/>
                      <w:b/>
                      <w:bCs/>
                      <w:color w:val="00B050"/>
                      <w:sz w:val="16"/>
                      <w:szCs w:val="16"/>
                    </w:rPr>
                    <w:t xml:space="preserve">Apresentação dos dados </w:t>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t>Comentário</w:t>
                  </w:r>
                </w:p>
              </w:txbxContent>
            </v:textbox>
          </v:shape>
        </w:pict>
      </w:r>
      <w:r w:rsidR="0047545A">
        <w:rPr>
          <w:rFonts w:ascii="Arial" w:hAnsi="Arial" w:cs="Arial"/>
          <w:b/>
          <w:bCs/>
          <w:color w:val="943634"/>
          <w:sz w:val="20"/>
          <w:szCs w:val="20"/>
        </w:rPr>
        <w:t xml:space="preserve">                                     </w:t>
      </w:r>
    </w:p>
    <w:p w:rsidR="0047545A" w:rsidRPr="00976337" w:rsidRDefault="008E0DDB" w:rsidP="0047545A">
      <w:pPr>
        <w:rPr>
          <w:rFonts w:ascii="Arial" w:hAnsi="Arial" w:cs="Arial"/>
          <w:b/>
          <w:bCs/>
          <w:color w:val="00B050"/>
          <w:sz w:val="20"/>
          <w:szCs w:val="20"/>
        </w:rPr>
      </w:pPr>
      <w:r w:rsidRPr="008E0DDB">
        <w:rPr>
          <w:rFonts w:ascii="Arial" w:hAnsi="Arial" w:cs="Arial"/>
          <w:b/>
          <w:noProof/>
          <w:sz w:val="20"/>
          <w:szCs w:val="20"/>
        </w:rPr>
        <w:pict>
          <v:shape id="_x0000_s1328" type="#_x0000_t202" style="position:absolute;margin-left:-21pt;margin-top:19.25pt;width:61.25pt;height:115.5pt;z-index:251764224;mso-width-relative:margin;mso-height-relative:margin" fillcolor="#ff6" strokecolor="#f2f2f2">
            <v:textbox style="layout-flow:vertical;mso-layout-flow-alt:bottom-to-top;mso-next-textbox:#_x0000_s1328">
              <w:txbxContent>
                <w:p w:rsidR="00E92D98" w:rsidRPr="00156AFC" w:rsidRDefault="00E92D98" w:rsidP="0047545A">
                  <w:pPr>
                    <w:jc w:val="center"/>
                    <w:rPr>
                      <w:rFonts w:ascii="Arial" w:hAnsi="Arial" w:cs="Arial"/>
                      <w:b/>
                      <w:sz w:val="16"/>
                      <w:szCs w:val="16"/>
                    </w:rPr>
                  </w:pPr>
                  <w:r w:rsidRPr="00156AFC">
                    <w:rPr>
                      <w:rFonts w:ascii="Arial" w:hAnsi="Arial" w:cs="Arial"/>
                      <w:b/>
                      <w:sz w:val="16"/>
                      <w:szCs w:val="16"/>
                    </w:rPr>
                    <w:t>R.03-A - Proporção de áreas remediadas em relação às áreas contaminadas em que o contaminante atingiu o solo ou a água (%)</w:t>
                  </w:r>
                </w:p>
              </w:txbxContent>
            </v:textbox>
          </v:shape>
        </w:pict>
      </w:r>
      <w:r w:rsidR="0047545A" w:rsidRPr="00754DAA">
        <w:rPr>
          <w:rFonts w:ascii="Arial" w:hAnsi="Arial" w:cs="Arial"/>
          <w:b/>
          <w:bCs/>
          <w:color w:val="7030A0"/>
          <w:sz w:val="20"/>
          <w:szCs w:val="20"/>
        </w:rPr>
        <w:t xml:space="preserve">                                   </w:t>
      </w: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29" type="#_x0000_t202" style="position:absolute;left:0;text-align:left;margin-left:310.45pt;margin-top:16.2pt;width:198.85pt;height:96.1pt;z-index:251765248;mso-width-relative:margin;mso-height-relative:margin" strokecolor="#f2f2f2">
            <v:textbox style="mso-next-textbox:#_x0000_s1329">
              <w:txbxContent>
                <w:p w:rsidR="00E92D98" w:rsidRPr="00DA6F9D" w:rsidRDefault="00E92D98" w:rsidP="0047545A">
                  <w:pPr>
                    <w:spacing w:line="240" w:lineRule="atLeast"/>
                    <w:jc w:val="center"/>
                    <w:rPr>
                      <w:rFonts w:ascii="Arial" w:hAnsi="Arial" w:cs="Arial"/>
                      <w:sz w:val="16"/>
                      <w:szCs w:val="16"/>
                    </w:rPr>
                  </w:pPr>
                  <w:r w:rsidRPr="00DA6F9D">
                    <w:rPr>
                      <w:rFonts w:ascii="Arial" w:hAnsi="Arial" w:cs="Arial"/>
                      <w:sz w:val="16"/>
                      <w:szCs w:val="16"/>
                    </w:rPr>
                    <w:t>A UGRHI 08 apresentou 44 áreas contaminadas em 2010. O Município de Franca com 12 áreas contaminadas não apresentou nenhuma remediação, cabendo ressaltar que a CETESB tem o prazo de cinco anos para declarar a área como remedia. Assim, 12 áreas contaminadas encontram-se em processo de reabilitação.</w:t>
                  </w:r>
                </w:p>
              </w:txbxContent>
            </v:textbox>
          </v:shape>
        </w:pict>
      </w:r>
      <w:r>
        <w:rPr>
          <w:rFonts w:ascii="Arial" w:hAnsi="Arial" w:cs="Arial"/>
          <w:b/>
          <w:noProof/>
          <w:sz w:val="20"/>
          <w:szCs w:val="20"/>
        </w:rPr>
        <w:pict>
          <v:shape id="_x0000_s1443" type="#_x0000_t202" style="position:absolute;left:0;text-align:left;margin-left:46.3pt;margin-top:16.2pt;width:255.8pt;height:96.1pt;z-index:251881984;mso-width-relative:margin;mso-height-relative:margin" strokecolor="white">
            <v:textbox style="mso-next-textbox:#_x0000_s1443">
              <w:txbxContent>
                <w:p w:rsidR="00E92D98" w:rsidRPr="00DA6F9D" w:rsidRDefault="00E92D98" w:rsidP="0047545A">
                  <w:pPr>
                    <w:spacing w:line="240" w:lineRule="atLeast"/>
                    <w:jc w:val="center"/>
                    <w:rPr>
                      <w:b/>
                      <w:sz w:val="18"/>
                      <w:szCs w:val="18"/>
                    </w:rPr>
                  </w:pPr>
                  <w:r w:rsidRPr="00DA6F9D">
                    <w:rPr>
                      <w:rFonts w:ascii="Arial" w:hAnsi="Arial" w:cs="Arial"/>
                      <w:b/>
                      <w:sz w:val="18"/>
                      <w:szCs w:val="18"/>
                    </w:rPr>
                    <w:t>2009: 0% de áreas remediadas em relação às áreas contaminadas em que o contaminante atingiu o solo ou a água.                                                                           2010: Batatais 25%, Guaíra 14%. Buritizal, Franca, Guará, Igarapava, Ipuã, Ituverava, Pedregulho, Santo Antonio da Alegria, São Joaquim da Barra, São José da Bela Vista 0%.</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AC7254" w:rsidRDefault="00AC7254"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31" type="#_x0000_t202" style="position:absolute;left:0;text-align:left;margin-left:310.45pt;margin-top:16.65pt;width:198.85pt;height:113pt;z-index:251767296;mso-width-relative:margin;mso-height-relative:margin" strokecolor="#f2f2f2">
            <v:textbox style="mso-next-textbox:#_x0000_s1331">
              <w:txbxContent>
                <w:p w:rsidR="00E92D98" w:rsidRDefault="00E92D98" w:rsidP="0047545A">
                  <w:pPr>
                    <w:spacing w:line="240" w:lineRule="atLeast"/>
                    <w:jc w:val="center"/>
                    <w:rPr>
                      <w:rFonts w:ascii="Arial" w:hAnsi="Arial" w:cs="Arial"/>
                      <w:sz w:val="16"/>
                      <w:szCs w:val="16"/>
                    </w:rPr>
                  </w:pPr>
                </w:p>
                <w:p w:rsidR="00E92D98" w:rsidRDefault="00E92D98" w:rsidP="0047545A">
                  <w:pPr>
                    <w:spacing w:line="240" w:lineRule="atLeast"/>
                    <w:jc w:val="center"/>
                    <w:rPr>
                      <w:rFonts w:ascii="Arial" w:hAnsi="Arial" w:cs="Arial"/>
                      <w:sz w:val="16"/>
                      <w:szCs w:val="16"/>
                    </w:rPr>
                  </w:pPr>
                </w:p>
                <w:p w:rsidR="00E92D98" w:rsidRPr="00156AFC" w:rsidRDefault="00E92D98" w:rsidP="0047545A">
                  <w:pPr>
                    <w:spacing w:line="240" w:lineRule="atLeast"/>
                    <w:jc w:val="center"/>
                    <w:rPr>
                      <w:rFonts w:ascii="Arial" w:hAnsi="Arial" w:cs="Arial"/>
                      <w:sz w:val="16"/>
                      <w:szCs w:val="16"/>
                    </w:rPr>
                  </w:pPr>
                  <w:r w:rsidRPr="00156AFC">
                    <w:rPr>
                      <w:rFonts w:ascii="Arial" w:hAnsi="Arial" w:cs="Arial"/>
                      <w:sz w:val="16"/>
                      <w:szCs w:val="16"/>
                    </w:rPr>
                    <w:t>Observa-se que todas as emergências de descarga de produtos químicos ocorridas na bacia foram atendidas e resolvidas.</w:t>
                  </w:r>
                </w:p>
              </w:txbxContent>
            </v:textbox>
          </v:shape>
        </w:pict>
      </w:r>
      <w:r>
        <w:rPr>
          <w:rFonts w:ascii="Arial" w:hAnsi="Arial" w:cs="Arial"/>
          <w:b/>
          <w:noProof/>
          <w:sz w:val="20"/>
          <w:szCs w:val="20"/>
        </w:rPr>
        <w:pict>
          <v:shape id="_x0000_s1330" type="#_x0000_t202" style="position:absolute;left:0;text-align:left;margin-left:-20.4pt;margin-top:16.65pt;width:60.65pt;height:117.2pt;z-index:251766272;mso-width-relative:margin;mso-height-relative:margin" fillcolor="#ff6" strokecolor="#a5a5a5">
            <v:textbox style="layout-flow:vertical;mso-layout-flow-alt:bottom-to-top;mso-next-textbox:#_x0000_s1330">
              <w:txbxContent>
                <w:p w:rsidR="00E92D98" w:rsidRPr="00156AFC" w:rsidRDefault="00E92D98" w:rsidP="0047545A">
                  <w:pPr>
                    <w:jc w:val="center"/>
                    <w:rPr>
                      <w:rFonts w:ascii="Arial" w:hAnsi="Arial" w:cs="Arial"/>
                      <w:b/>
                      <w:sz w:val="14"/>
                      <w:szCs w:val="14"/>
                    </w:rPr>
                  </w:pPr>
                  <w:r w:rsidRPr="00156AFC">
                    <w:rPr>
                      <w:rFonts w:ascii="Arial" w:hAnsi="Arial" w:cs="Arial"/>
                      <w:b/>
                      <w:sz w:val="14"/>
                      <w:szCs w:val="14"/>
                    </w:rPr>
                    <w:t>R.03-B Quantidade de atendimentos a descarga/derrame de produtos químicos no solo ou na água (n° ocorrências/ano)</w:t>
                  </w:r>
                </w:p>
              </w:txbxContent>
            </v:textbox>
          </v:shape>
        </w:pict>
      </w:r>
      <w:r>
        <w:rPr>
          <w:rFonts w:ascii="Arial" w:hAnsi="Arial" w:cs="Arial"/>
          <w:b/>
          <w:noProof/>
          <w:sz w:val="20"/>
          <w:szCs w:val="20"/>
        </w:rPr>
        <w:pict>
          <v:shape id="_x0000_s1444" type="#_x0000_t202" style="position:absolute;left:0;text-align:left;margin-left:54.5pt;margin-top:16.65pt;width:198.5pt;height:117.2pt;z-index:251883008;mso-wrap-style:none;mso-width-relative:margin;mso-height-relative:margin" strokecolor="white">
            <v:textbox style="mso-next-textbox:#_x0000_s1444">
              <w:txbxContent>
                <w:p w:rsidR="00E92D98" w:rsidRPr="00252C84" w:rsidRDefault="00E92D98" w:rsidP="0047545A">
                  <w:r>
                    <w:rPr>
                      <w:noProof/>
                    </w:rPr>
                    <w:drawing>
                      <wp:inline distT="0" distB="0" distL="0" distR="0">
                        <wp:extent cx="2935693" cy="1343985"/>
                        <wp:effectExtent l="19050" t="0" r="17057" b="8565"/>
                        <wp:docPr id="61"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A444A0" w:rsidRDefault="00A444A0"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445" type="#_x0000_t202" style="position:absolute;left:0;text-align:left;margin-left:-22.75pt;margin-top:16.95pt;width:530.9pt;height:20.2pt;z-index:251884032;mso-width-relative:margin;mso-height-relative:margin" fillcolor="#d8d8d8" strokecolor="white">
            <v:textbox style="mso-next-textbox:#_x0000_s1445">
              <w:txbxContent>
                <w:p w:rsidR="00E92D98" w:rsidRPr="005875D4" w:rsidRDefault="00E92D98" w:rsidP="0047545A">
                  <w:pPr>
                    <w:jc w:val="center"/>
                    <w:rPr>
                      <w:rFonts w:ascii="Arial" w:hAnsi="Arial" w:cs="Arial"/>
                      <w:b/>
                      <w:bCs/>
                      <w:color w:val="00B050"/>
                      <w:sz w:val="20"/>
                      <w:szCs w:val="20"/>
                    </w:rPr>
                  </w:pPr>
                  <w:r w:rsidRPr="005875D4">
                    <w:rPr>
                      <w:rFonts w:ascii="Arial" w:hAnsi="Arial" w:cs="Arial"/>
                      <w:b/>
                      <w:bCs/>
                      <w:color w:val="00B050"/>
                      <w:sz w:val="20"/>
                      <w:szCs w:val="20"/>
                    </w:rPr>
                    <w:t xml:space="preserve">RESPOSTA: </w:t>
                  </w:r>
                  <w:r>
                    <w:rPr>
                      <w:rFonts w:ascii="Arial" w:hAnsi="Arial" w:cs="Arial"/>
                      <w:b/>
                      <w:bCs/>
                      <w:color w:val="00B050"/>
                      <w:sz w:val="20"/>
                      <w:szCs w:val="20"/>
                    </w:rPr>
                    <w:t>Abrangência do Monitoramento</w:t>
                  </w:r>
                </w:p>
                <w:p w:rsidR="00E92D98" w:rsidRPr="00826C1D" w:rsidRDefault="00E92D98" w:rsidP="0047545A">
                  <w:pPr>
                    <w:rPr>
                      <w:szCs w:val="18"/>
                    </w:rPr>
                  </w:pPr>
                </w:p>
              </w:txbxContent>
            </v:textbox>
          </v:shape>
        </w:pict>
      </w:r>
    </w:p>
    <w:p w:rsidR="0047545A" w:rsidRPr="00190436" w:rsidRDefault="008E0DDB" w:rsidP="0047545A">
      <w:pPr>
        <w:jc w:val="both"/>
        <w:rPr>
          <w:rFonts w:ascii="Arial" w:hAnsi="Arial" w:cs="Arial"/>
          <w:b/>
          <w:bCs/>
          <w:color w:val="943634"/>
          <w:sz w:val="20"/>
          <w:szCs w:val="20"/>
        </w:rPr>
      </w:pPr>
      <w:r w:rsidRPr="008E0DDB">
        <w:rPr>
          <w:rFonts w:ascii="Arial" w:hAnsi="Arial" w:cs="Arial"/>
          <w:b/>
          <w:noProof/>
          <w:sz w:val="20"/>
          <w:szCs w:val="20"/>
        </w:rPr>
        <w:pict>
          <v:shape id="_x0000_s1333" type="#_x0000_t202" style="position:absolute;left:0;text-align:left;margin-left:317pt;margin-top:7.35pt;width:198.85pt;height:196.95pt;z-index:251769344;mso-width-relative:margin;mso-height-relative:margin" strokecolor="#f2f2f2">
            <v:textbox style="mso-next-textbox:#_x0000_s1333">
              <w:txbxContent>
                <w:p w:rsidR="00E92D98" w:rsidRDefault="00E92D98" w:rsidP="0047545A">
                  <w:pPr>
                    <w:spacing w:line="240" w:lineRule="atLeast"/>
                    <w:jc w:val="center"/>
                    <w:rPr>
                      <w:rFonts w:ascii="Arial" w:hAnsi="Arial" w:cs="Arial"/>
                      <w:sz w:val="16"/>
                      <w:szCs w:val="16"/>
                    </w:rPr>
                  </w:pPr>
                </w:p>
                <w:p w:rsidR="00E92D98" w:rsidRDefault="00E92D98" w:rsidP="0047545A">
                  <w:pPr>
                    <w:spacing w:line="240" w:lineRule="atLeast"/>
                    <w:jc w:val="center"/>
                    <w:rPr>
                      <w:rFonts w:ascii="Arial" w:hAnsi="Arial" w:cs="Arial"/>
                      <w:sz w:val="16"/>
                      <w:szCs w:val="16"/>
                    </w:rPr>
                  </w:pPr>
                </w:p>
                <w:p w:rsidR="00E92D98" w:rsidRDefault="00E92D98" w:rsidP="0047545A">
                  <w:pPr>
                    <w:spacing w:line="240" w:lineRule="atLeast"/>
                    <w:jc w:val="center"/>
                    <w:rPr>
                      <w:rFonts w:ascii="Arial" w:hAnsi="Arial" w:cs="Arial"/>
                      <w:sz w:val="16"/>
                      <w:szCs w:val="16"/>
                    </w:rPr>
                  </w:pPr>
                </w:p>
                <w:p w:rsidR="00E92D98" w:rsidRDefault="00E92D98" w:rsidP="0047545A">
                  <w:pPr>
                    <w:spacing w:line="240" w:lineRule="atLeast"/>
                    <w:jc w:val="center"/>
                    <w:rPr>
                      <w:rFonts w:ascii="Arial" w:hAnsi="Arial" w:cs="Arial"/>
                      <w:sz w:val="16"/>
                      <w:szCs w:val="16"/>
                    </w:rPr>
                  </w:pPr>
                </w:p>
                <w:p w:rsidR="00E92D98" w:rsidRPr="00156AFC" w:rsidRDefault="00E92D98" w:rsidP="0047545A">
                  <w:pPr>
                    <w:spacing w:line="240" w:lineRule="atLeast"/>
                    <w:jc w:val="center"/>
                    <w:rPr>
                      <w:rFonts w:ascii="Arial" w:hAnsi="Arial" w:cs="Arial"/>
                      <w:sz w:val="16"/>
                      <w:szCs w:val="16"/>
                    </w:rPr>
                  </w:pPr>
                  <w:r w:rsidRPr="0081781C">
                    <w:rPr>
                      <w:rFonts w:ascii="Arial" w:hAnsi="Arial" w:cs="Arial"/>
                      <w:sz w:val="18"/>
                      <w:szCs w:val="18"/>
                    </w:rPr>
                    <w:t>O monitoramento pluviométrico e hidrológico é demanda induzida do CBH- Sapucaí Mirim/Grande. De forma a melhorar os dados de quantidade da precipitação de água e dados fluviométricos para o planejamento de uso dos recursos hídricos, previsão de cheias, saneamento básico, abastecimento público e industrial e irrigação</w:t>
                  </w:r>
                  <w:r w:rsidRPr="00156AFC">
                    <w:rPr>
                      <w:rFonts w:ascii="Arial" w:hAnsi="Arial" w:cs="Arial"/>
                      <w:sz w:val="16"/>
                      <w:szCs w:val="16"/>
                    </w:rPr>
                    <w:t>.</w:t>
                  </w:r>
                </w:p>
              </w:txbxContent>
            </v:textbox>
          </v:shape>
        </w:pict>
      </w:r>
      <w:r>
        <w:rPr>
          <w:rFonts w:ascii="Arial" w:hAnsi="Arial" w:cs="Arial"/>
          <w:b/>
          <w:bCs/>
          <w:noProof/>
          <w:color w:val="943634"/>
          <w:sz w:val="20"/>
          <w:szCs w:val="20"/>
          <w:lang w:eastAsia="en-US"/>
        </w:rPr>
        <w:pict>
          <v:shape id="_x0000_s1332" type="#_x0000_t202" style="position:absolute;left:0;text-align:left;margin-left:-21.25pt;margin-top:7.35pt;width:55.9pt;height:92.8pt;z-index:251768320;mso-width-relative:margin;mso-height-relative:margin" fillcolor="purple" strokecolor="#f2f2f2">
            <v:textbox style="layout-flow:vertical;mso-layout-flow-alt:bottom-to-top;mso-next-textbox:#_x0000_s1332">
              <w:txbxContent>
                <w:p w:rsidR="00E92D98" w:rsidRPr="00156AFC" w:rsidRDefault="00E92D98" w:rsidP="0047545A">
                  <w:pPr>
                    <w:jc w:val="center"/>
                    <w:rPr>
                      <w:rFonts w:ascii="Arial" w:hAnsi="Arial" w:cs="Arial"/>
                      <w:sz w:val="16"/>
                      <w:szCs w:val="16"/>
                    </w:rPr>
                  </w:pPr>
                  <w:r w:rsidRPr="00156AFC">
                    <w:rPr>
                      <w:rFonts w:ascii="Arial" w:hAnsi="Arial" w:cs="Arial"/>
                      <w:sz w:val="16"/>
                      <w:szCs w:val="16"/>
                    </w:rPr>
                    <w:t>R.04-A - Densidade da rede de monitoramento pluviométrico (nº de estações/1000 km2)</w:t>
                  </w:r>
                </w:p>
              </w:txbxContent>
            </v:textbox>
          </v:shape>
        </w:pict>
      </w:r>
      <w:r w:rsidRPr="008E0DDB">
        <w:rPr>
          <w:rFonts w:ascii="Arial" w:hAnsi="Arial" w:cs="Arial"/>
          <w:b/>
          <w:noProof/>
          <w:sz w:val="20"/>
          <w:szCs w:val="20"/>
        </w:rPr>
        <w:pict>
          <v:shape id="_x0000_s1339" type="#_x0000_t202" style="position:absolute;left:0;text-align:left;margin-left:54.75pt;margin-top:7.35pt;width:241.05pt;height:92.8pt;z-index:251775488;mso-width-relative:margin;mso-height-relative:margin" fillcolor="#cfc" strokecolor="white">
            <v:textbox style="mso-next-textbox:#_x0000_s1339">
              <w:txbxContent>
                <w:p w:rsidR="00E92D98" w:rsidRDefault="00E92D98" w:rsidP="0047545A">
                  <w:pPr>
                    <w:jc w:val="center"/>
                    <w:rPr>
                      <w:rFonts w:ascii="Arial" w:hAnsi="Arial" w:cs="Arial"/>
                      <w:sz w:val="18"/>
                      <w:szCs w:val="18"/>
                    </w:rPr>
                  </w:pPr>
                </w:p>
                <w:p w:rsidR="00E92D98" w:rsidRPr="00156AFC" w:rsidRDefault="00E92D98" w:rsidP="0081781C">
                  <w:pPr>
                    <w:spacing w:before="120" w:line="360" w:lineRule="auto"/>
                    <w:jc w:val="center"/>
                    <w:rPr>
                      <w:rFonts w:ascii="Arial" w:hAnsi="Arial" w:cs="Arial"/>
                      <w:b/>
                      <w:sz w:val="18"/>
                      <w:szCs w:val="18"/>
                    </w:rPr>
                  </w:pPr>
                  <w:r w:rsidRPr="00156AFC">
                    <w:rPr>
                      <w:rFonts w:ascii="Arial" w:hAnsi="Arial" w:cs="Arial"/>
                      <w:b/>
                      <w:sz w:val="18"/>
                      <w:szCs w:val="18"/>
                    </w:rPr>
                    <w:t>Dado do DAEE de Julho de 2011 apresentou densidade da rede de monitoramento pluviométrico 2,02 estações/1000 km2.</w:t>
                  </w:r>
                </w:p>
              </w:txbxContent>
            </v:textbox>
          </v:shape>
        </w:pict>
      </w: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81781C" w:rsidRDefault="0081781C"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38" type="#_x0000_t202" style="position:absolute;left:0;text-align:left;margin-left:54.3pt;margin-top:-.35pt;width:241.05pt;height:95.4pt;z-index:251774464;mso-width-relative:margin;mso-height-relative:margin" fillcolor="#cfc" strokecolor="white">
            <v:textbox style="mso-next-textbox:#_x0000_s1338">
              <w:txbxContent>
                <w:p w:rsidR="00E92D98" w:rsidRDefault="00E92D98" w:rsidP="0047545A">
                  <w:pPr>
                    <w:jc w:val="center"/>
                    <w:rPr>
                      <w:rFonts w:ascii="Arial" w:hAnsi="Arial" w:cs="Arial"/>
                      <w:b/>
                      <w:color w:val="FF0000"/>
                      <w:sz w:val="18"/>
                      <w:szCs w:val="18"/>
                    </w:rPr>
                  </w:pPr>
                </w:p>
                <w:p w:rsidR="00E92D98" w:rsidRDefault="00E92D98" w:rsidP="0081781C">
                  <w:pPr>
                    <w:spacing w:before="120"/>
                    <w:jc w:val="center"/>
                    <w:rPr>
                      <w:rFonts w:ascii="Arial" w:hAnsi="Arial" w:cs="Arial"/>
                      <w:b/>
                      <w:sz w:val="18"/>
                      <w:szCs w:val="18"/>
                    </w:rPr>
                  </w:pPr>
                </w:p>
                <w:p w:rsidR="00E92D98" w:rsidRPr="001B6C3F" w:rsidRDefault="00E92D98" w:rsidP="0081781C">
                  <w:pPr>
                    <w:spacing w:before="120"/>
                    <w:jc w:val="center"/>
                    <w:rPr>
                      <w:rFonts w:ascii="Arial" w:hAnsi="Arial" w:cs="Arial"/>
                      <w:b/>
                      <w:sz w:val="18"/>
                      <w:szCs w:val="18"/>
                    </w:rPr>
                  </w:pPr>
                  <w:r w:rsidRPr="001B6C3F">
                    <w:rPr>
                      <w:rFonts w:ascii="Arial" w:hAnsi="Arial" w:cs="Arial"/>
                      <w:b/>
                      <w:sz w:val="18"/>
                      <w:szCs w:val="18"/>
                    </w:rPr>
                    <w:t>Dado do DAEE de julho de 2011 apr</w:t>
                  </w:r>
                  <w:r>
                    <w:rPr>
                      <w:rFonts w:ascii="Arial" w:hAnsi="Arial" w:cs="Arial"/>
                      <w:b/>
                      <w:sz w:val="18"/>
                      <w:szCs w:val="18"/>
                    </w:rPr>
                    <w:t>e</w:t>
                  </w:r>
                  <w:r w:rsidRPr="001B6C3F">
                    <w:rPr>
                      <w:rFonts w:ascii="Arial" w:hAnsi="Arial" w:cs="Arial"/>
                      <w:b/>
                      <w:sz w:val="18"/>
                      <w:szCs w:val="18"/>
                    </w:rPr>
                    <w:t>sentou densidade nula de estações/1000Lm2.</w:t>
                  </w:r>
                </w:p>
                <w:p w:rsidR="00E92D98" w:rsidRDefault="00E92D98" w:rsidP="0047545A">
                  <w:pPr>
                    <w:jc w:val="center"/>
                    <w:rPr>
                      <w:rFonts w:ascii="Arial" w:hAnsi="Arial" w:cs="Arial"/>
                      <w:b/>
                      <w:color w:val="FF0000"/>
                      <w:sz w:val="18"/>
                      <w:szCs w:val="18"/>
                    </w:rPr>
                  </w:pPr>
                </w:p>
                <w:p w:rsidR="00E92D98" w:rsidRDefault="00E92D98" w:rsidP="0047545A"/>
                <w:p w:rsidR="00E92D98" w:rsidRPr="00252C84" w:rsidRDefault="00E92D98" w:rsidP="0047545A"/>
              </w:txbxContent>
            </v:textbox>
          </v:shape>
        </w:pict>
      </w:r>
      <w:r>
        <w:rPr>
          <w:rFonts w:ascii="Arial" w:hAnsi="Arial" w:cs="Arial"/>
          <w:b/>
          <w:noProof/>
          <w:sz w:val="20"/>
          <w:szCs w:val="20"/>
        </w:rPr>
        <w:pict>
          <v:shape id="_x0000_s1334" type="#_x0000_t202" style="position:absolute;left:0;text-align:left;margin-left:-21.5pt;margin-top:-.35pt;width:55.9pt;height:95.4pt;z-index:251770368;mso-width-relative:margin;mso-height-relative:margin" fillcolor="purple" strokecolor="#a5a5a5">
            <v:textbox style="layout-flow:vertical;mso-layout-flow-alt:bottom-to-top;mso-next-textbox:#_x0000_s1334">
              <w:txbxContent>
                <w:p w:rsidR="00E92D98" w:rsidRPr="00401738" w:rsidRDefault="00E92D98" w:rsidP="0047545A">
                  <w:pPr>
                    <w:jc w:val="center"/>
                    <w:rPr>
                      <w:rFonts w:ascii="Arial" w:hAnsi="Arial" w:cs="Arial"/>
                      <w:sz w:val="16"/>
                      <w:szCs w:val="16"/>
                    </w:rPr>
                  </w:pPr>
                  <w:r w:rsidRPr="00401738">
                    <w:rPr>
                      <w:rFonts w:ascii="Arial" w:hAnsi="Arial" w:cs="Arial"/>
                      <w:sz w:val="16"/>
                      <w:szCs w:val="16"/>
                    </w:rPr>
                    <w:t>R04-B - Densidade da rede de monitoramento hidrológico (nº de estações/1000 km2)</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r w:rsidRPr="00976337">
        <w:rPr>
          <w:rFonts w:ascii="Arial" w:hAnsi="Arial" w:cs="Arial"/>
          <w:b/>
          <w:bCs/>
          <w:color w:val="00B050"/>
          <w:sz w:val="20"/>
          <w:szCs w:val="20"/>
        </w:rPr>
        <w:t xml:space="preserve">                  </w:t>
      </w: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FF2543" w:rsidRDefault="00FF2543"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47545A" w:rsidP="0047545A">
      <w:pPr>
        <w:rPr>
          <w:rFonts w:ascii="Arial" w:hAnsi="Arial" w:cs="Arial"/>
          <w:b/>
          <w:bCs/>
          <w:color w:val="00B050"/>
          <w:sz w:val="20"/>
          <w:szCs w:val="20"/>
        </w:rPr>
      </w:pPr>
    </w:p>
    <w:p w:rsidR="0047545A" w:rsidRDefault="008E0DDB" w:rsidP="0047545A">
      <w:pPr>
        <w:rPr>
          <w:rFonts w:ascii="Arial" w:hAnsi="Arial" w:cs="Arial"/>
          <w:b/>
          <w:bCs/>
          <w:color w:val="00B050"/>
          <w:sz w:val="20"/>
          <w:szCs w:val="20"/>
        </w:rPr>
      </w:pPr>
      <w:r>
        <w:rPr>
          <w:rFonts w:ascii="Arial" w:hAnsi="Arial" w:cs="Arial"/>
          <w:b/>
          <w:bCs/>
          <w:noProof/>
          <w:color w:val="00B050"/>
          <w:sz w:val="20"/>
          <w:szCs w:val="20"/>
        </w:rPr>
        <w:pict>
          <v:shape id="_x0000_s1447" type="#_x0000_t202" style="position:absolute;margin-left:-21.25pt;margin-top:-2.8pt;width:530.9pt;height:20.2pt;z-index:251886080;mso-width-relative:margin;mso-height-relative:margin" fillcolor="#d8d8d8" strokecolor="white">
            <v:textbox style="mso-next-textbox:#_x0000_s1447">
              <w:txbxContent>
                <w:p w:rsidR="00E92D98" w:rsidRPr="00826C1D" w:rsidRDefault="00E92D98" w:rsidP="0047545A">
                  <w:pPr>
                    <w:jc w:val="center"/>
                    <w:rPr>
                      <w:szCs w:val="18"/>
                    </w:rPr>
                  </w:pPr>
                  <w:r w:rsidRPr="005875D4">
                    <w:rPr>
                      <w:rFonts w:ascii="Arial" w:hAnsi="Arial" w:cs="Arial"/>
                      <w:b/>
                      <w:bCs/>
                      <w:color w:val="00B050"/>
                      <w:sz w:val="20"/>
                      <w:szCs w:val="20"/>
                    </w:rPr>
                    <w:t xml:space="preserve">RESPOSTA: </w:t>
                  </w:r>
                  <w:r w:rsidRPr="00195CF2">
                    <w:rPr>
                      <w:rFonts w:ascii="Arial" w:hAnsi="Arial" w:cs="Arial"/>
                      <w:b/>
                      <w:bCs/>
                      <w:color w:val="00B050"/>
                      <w:sz w:val="20"/>
                      <w:szCs w:val="20"/>
                    </w:rPr>
                    <w:t>Controle da Exploração e Uso da Águas</w:t>
                  </w:r>
                </w:p>
              </w:txbxContent>
            </v:textbox>
          </v:shape>
        </w:pict>
      </w:r>
    </w:p>
    <w:p w:rsidR="00FF2543" w:rsidRDefault="00FF2543" w:rsidP="0047545A">
      <w:pPr>
        <w:rPr>
          <w:rFonts w:ascii="Arial" w:hAnsi="Arial" w:cs="Arial"/>
          <w:b/>
          <w:bCs/>
          <w:color w:val="00B050"/>
          <w:sz w:val="20"/>
          <w:szCs w:val="20"/>
        </w:rPr>
      </w:pPr>
    </w:p>
    <w:p w:rsidR="0047545A" w:rsidRDefault="008E0DDB" w:rsidP="0047545A">
      <w:pPr>
        <w:rPr>
          <w:rFonts w:ascii="Arial" w:hAnsi="Arial" w:cs="Arial"/>
          <w:b/>
          <w:bCs/>
          <w:color w:val="00B050"/>
          <w:sz w:val="20"/>
          <w:szCs w:val="20"/>
        </w:rPr>
      </w:pPr>
      <w:r>
        <w:rPr>
          <w:rFonts w:ascii="Arial" w:hAnsi="Arial" w:cs="Arial"/>
          <w:b/>
          <w:bCs/>
          <w:noProof/>
          <w:color w:val="00B050"/>
          <w:sz w:val="20"/>
          <w:szCs w:val="20"/>
        </w:rPr>
        <w:pict>
          <v:shape id="_x0000_s1446" type="#_x0000_t202" style="position:absolute;margin-left:-21.25pt;margin-top:.85pt;width:55.9pt;height:27.85pt;z-index:251885056;mso-width-relative:margin;mso-height-relative:margin" fillcolor="#d8d8d8" strokecolor="white">
            <v:textbox style="mso-next-textbox:#_x0000_s1446">
              <w:txbxContent>
                <w:p w:rsidR="00E92D98" w:rsidRPr="005875D4" w:rsidRDefault="00E92D98" w:rsidP="0047545A">
                  <w:pPr>
                    <w:spacing w:before="40"/>
                    <w:rPr>
                      <w:color w:val="00B050"/>
                      <w:sz w:val="16"/>
                      <w:szCs w:val="16"/>
                    </w:rPr>
                  </w:pPr>
                  <w:r w:rsidRPr="005875D4">
                    <w:rPr>
                      <w:rFonts w:ascii="Arial" w:hAnsi="Arial" w:cs="Arial"/>
                      <w:b/>
                      <w:bCs/>
                      <w:color w:val="00B050"/>
                      <w:sz w:val="16"/>
                      <w:szCs w:val="16"/>
                    </w:rPr>
                    <w:t>Grandeza/ Parâmetro</w:t>
                  </w:r>
                </w:p>
              </w:txbxContent>
            </v:textbox>
          </v:shape>
        </w:pict>
      </w:r>
      <w:r>
        <w:rPr>
          <w:rFonts w:ascii="Arial" w:hAnsi="Arial" w:cs="Arial"/>
          <w:b/>
          <w:bCs/>
          <w:noProof/>
          <w:color w:val="00B050"/>
          <w:sz w:val="20"/>
          <w:szCs w:val="20"/>
        </w:rPr>
        <w:pict>
          <v:shape id="_x0000_s1448" type="#_x0000_t202" style="position:absolute;margin-left:46.65pt;margin-top:.85pt;width:463pt;height:27.85pt;z-index:251887104;mso-width-relative:margin;mso-height-relative:margin" fillcolor="#d8d8d8" strokecolor="white">
            <v:textbox style="mso-next-textbox:#_x0000_s1448">
              <w:txbxContent>
                <w:p w:rsidR="00E92D98" w:rsidRPr="005875D4" w:rsidRDefault="00E92D98" w:rsidP="0047545A">
                  <w:pPr>
                    <w:spacing w:before="60"/>
                    <w:rPr>
                      <w:color w:val="00B050"/>
                      <w:sz w:val="16"/>
                      <w:szCs w:val="16"/>
                    </w:rPr>
                  </w:pPr>
                  <w:r w:rsidRPr="005875D4">
                    <w:rPr>
                      <w:rFonts w:ascii="Arial" w:hAnsi="Arial" w:cs="Arial"/>
                      <w:b/>
                      <w:bCs/>
                      <w:color w:val="00B050"/>
                      <w:sz w:val="18"/>
                      <w:szCs w:val="18"/>
                    </w:rPr>
                    <w:t xml:space="preserve">                           </w:t>
                  </w:r>
                  <w:r w:rsidRPr="005875D4">
                    <w:rPr>
                      <w:rFonts w:ascii="Arial" w:hAnsi="Arial" w:cs="Arial"/>
                      <w:b/>
                      <w:bCs/>
                      <w:color w:val="00B050"/>
                      <w:sz w:val="16"/>
                      <w:szCs w:val="16"/>
                    </w:rPr>
                    <w:t xml:space="preserve">Apresentação dos dados </w:t>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r>
                  <w:r w:rsidRPr="005875D4">
                    <w:rPr>
                      <w:rFonts w:ascii="Arial" w:hAnsi="Arial" w:cs="Arial"/>
                      <w:b/>
                      <w:bCs/>
                      <w:color w:val="00B050"/>
                      <w:sz w:val="16"/>
                      <w:szCs w:val="16"/>
                    </w:rPr>
                    <w:tab/>
                    <w:t>Comentário</w:t>
                  </w:r>
                </w:p>
              </w:txbxContent>
            </v:textbox>
          </v:shape>
        </w:pict>
      </w:r>
    </w:p>
    <w:p w:rsidR="00FF2543" w:rsidRDefault="0047545A" w:rsidP="0047545A">
      <w:pPr>
        <w:rPr>
          <w:rFonts w:ascii="Arial" w:hAnsi="Arial" w:cs="Arial"/>
          <w:b/>
          <w:bCs/>
          <w:color w:val="00B050"/>
          <w:sz w:val="20"/>
          <w:szCs w:val="20"/>
        </w:rPr>
      </w:pPr>
      <w:r w:rsidRPr="00976337">
        <w:rPr>
          <w:rFonts w:ascii="Arial" w:hAnsi="Arial" w:cs="Arial"/>
          <w:b/>
          <w:bCs/>
          <w:color w:val="00B050"/>
          <w:sz w:val="20"/>
          <w:szCs w:val="20"/>
        </w:rPr>
        <w:t xml:space="preserve">             </w:t>
      </w:r>
    </w:p>
    <w:p w:rsidR="00FF2543" w:rsidRDefault="00FF2543" w:rsidP="0047545A">
      <w:pPr>
        <w:rPr>
          <w:rFonts w:ascii="Arial" w:hAnsi="Arial" w:cs="Arial"/>
          <w:b/>
          <w:bCs/>
          <w:color w:val="00B050"/>
          <w:sz w:val="20"/>
          <w:szCs w:val="20"/>
        </w:rPr>
      </w:pPr>
    </w:p>
    <w:p w:rsidR="0047545A" w:rsidRPr="00976337" w:rsidRDefault="008E0DDB" w:rsidP="0047545A">
      <w:pPr>
        <w:rPr>
          <w:rFonts w:ascii="Arial" w:hAnsi="Arial" w:cs="Arial"/>
          <w:b/>
          <w:noProof/>
          <w:color w:val="00B050"/>
          <w:sz w:val="20"/>
          <w:szCs w:val="20"/>
        </w:rPr>
      </w:pPr>
      <w:r>
        <w:rPr>
          <w:rFonts w:ascii="Arial" w:hAnsi="Arial" w:cs="Arial"/>
          <w:b/>
          <w:noProof/>
          <w:color w:val="00B050"/>
          <w:sz w:val="20"/>
          <w:szCs w:val="20"/>
        </w:rPr>
        <w:pict>
          <v:shape id="_x0000_s1336" type="#_x0000_t202" style="position:absolute;margin-left:310.8pt;margin-top:1.15pt;width:198.85pt;height:169.9pt;z-index:251772416;mso-width-relative:margin;mso-height-relative:margin" strokecolor="#f2f2f2">
            <v:textbox style="mso-next-textbox:#_x0000_s1336">
              <w:txbxContent>
                <w:p w:rsidR="00E92D98" w:rsidRPr="00195CF2" w:rsidRDefault="00E92D98" w:rsidP="0047545A">
                  <w:pPr>
                    <w:spacing w:line="240" w:lineRule="atLeast"/>
                    <w:jc w:val="center"/>
                    <w:rPr>
                      <w:rFonts w:ascii="Arial" w:hAnsi="Arial" w:cs="Arial"/>
                      <w:sz w:val="16"/>
                      <w:szCs w:val="16"/>
                    </w:rPr>
                  </w:pPr>
                  <w:r w:rsidRPr="00195CF2">
                    <w:rPr>
                      <w:rFonts w:ascii="Arial" w:hAnsi="Arial" w:cs="Arial"/>
                      <w:sz w:val="16"/>
                      <w:szCs w:val="16"/>
                    </w:rPr>
                    <w:t>Tanto as vazões outorgadas para captação superficial quanto para captação subterrânea permaneceram sem muita alteração embora todo o crescimento regional, mas compatíveis com os indicadores de P02 - A ao P02-E, evidenciando aumento de 20% de pressão nas águas subterrâneas. Entretanto é de fundamental importância a atualização do cadastro de usuários de recursos hídricos para que se possa realizar a gestão, a cobrança pelo uso da água e a implementação da Política Estadual de Recursos Hídricos.</w:t>
                  </w:r>
                </w:p>
              </w:txbxContent>
            </v:textbox>
          </v:shape>
        </w:pict>
      </w:r>
      <w:r>
        <w:rPr>
          <w:rFonts w:ascii="Arial" w:hAnsi="Arial" w:cs="Arial"/>
          <w:b/>
          <w:noProof/>
          <w:color w:val="00B050"/>
          <w:sz w:val="20"/>
          <w:szCs w:val="20"/>
        </w:rPr>
        <w:pict>
          <v:shape id="_x0000_s1335" type="#_x0000_t202" style="position:absolute;margin-left:-21.25pt;margin-top:1.15pt;width:55.9pt;height:83.65pt;z-index:251771392;mso-width-relative:margin;mso-height-relative:margin" strokecolor="#f2f2f2">
            <v:textbox style="layout-flow:vertical;mso-layout-flow-alt:bottom-to-top;mso-next-textbox:#_x0000_s1335">
              <w:txbxContent>
                <w:p w:rsidR="00E92D98" w:rsidRPr="003012E0" w:rsidRDefault="00E92D98" w:rsidP="0047545A">
                  <w:pPr>
                    <w:jc w:val="center"/>
                    <w:rPr>
                      <w:rFonts w:ascii="Arial" w:hAnsi="Arial" w:cs="Arial"/>
                      <w:b/>
                      <w:sz w:val="16"/>
                      <w:szCs w:val="16"/>
                    </w:rPr>
                  </w:pPr>
                  <w:r w:rsidRPr="003012E0">
                    <w:rPr>
                      <w:rFonts w:ascii="Arial" w:hAnsi="Arial" w:cs="Arial"/>
                      <w:b/>
                      <w:sz w:val="16"/>
                      <w:szCs w:val="16"/>
                    </w:rPr>
                    <w:t>R.05-B Vazão total outorgada para captações superficiais  (m3/s)</w:t>
                  </w:r>
                </w:p>
              </w:txbxContent>
            </v:textbox>
          </v:shape>
        </w:pict>
      </w:r>
      <w:r>
        <w:rPr>
          <w:rFonts w:ascii="Arial" w:hAnsi="Arial" w:cs="Arial"/>
          <w:b/>
          <w:noProof/>
          <w:color w:val="00B050"/>
          <w:sz w:val="20"/>
          <w:szCs w:val="20"/>
        </w:rPr>
        <w:pict>
          <v:shape id="_x0000_s1337" type="#_x0000_t202" style="position:absolute;margin-left:54.75pt;margin-top:10.2pt;width:240.6pt;height:169.9pt;z-index:251773440;mso-wrap-style:none;mso-width-relative:margin;mso-height-relative:margin" strokecolor="white">
            <v:textbox style="mso-next-textbox:#_x0000_s1337">
              <w:txbxContent>
                <w:p w:rsidR="00E92D98" w:rsidRPr="00252C84" w:rsidRDefault="00E92D98" w:rsidP="0047545A">
                  <w:r>
                    <w:rPr>
                      <w:noProof/>
                    </w:rPr>
                    <w:drawing>
                      <wp:inline distT="0" distB="0" distL="0" distR="0">
                        <wp:extent cx="2861945" cy="2030730"/>
                        <wp:effectExtent l="0" t="0" r="0" b="0"/>
                        <wp:docPr id="6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59" type="#_x0000_t202" style="position:absolute;left:0;text-align:left;margin-left:-21.5pt;margin-top:10.2pt;width:61.5pt;height:83.65pt;z-index:251795968;mso-width-relative:margin;mso-height-relative:margin" strokecolor="#f2f2f2">
            <v:textbox style="layout-flow:vertical;mso-layout-flow-alt:bottom-to-top;mso-next-textbox:#_x0000_s1359">
              <w:txbxContent>
                <w:p w:rsidR="00E92D98" w:rsidRPr="00195CF2" w:rsidRDefault="00E92D98" w:rsidP="0047545A">
                  <w:pPr>
                    <w:jc w:val="center"/>
                    <w:rPr>
                      <w:rFonts w:ascii="Arial" w:hAnsi="Arial" w:cs="Arial"/>
                      <w:b/>
                      <w:sz w:val="16"/>
                      <w:szCs w:val="16"/>
                    </w:rPr>
                  </w:pPr>
                  <w:r w:rsidRPr="00195CF2">
                    <w:rPr>
                      <w:rFonts w:ascii="Arial" w:hAnsi="Arial" w:cs="Arial"/>
                      <w:b/>
                      <w:sz w:val="16"/>
                      <w:szCs w:val="16"/>
                    </w:rPr>
                    <w:t>R.05-C Vazão total outorgada para captações subterrâneas  (m3/s)</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12"/>
          <w:szCs w:val="12"/>
        </w:rPr>
      </w:pPr>
    </w:p>
    <w:p w:rsidR="00FF2543" w:rsidRPr="00FF2543" w:rsidRDefault="00FF2543" w:rsidP="0047545A">
      <w:pPr>
        <w:pStyle w:val="Corpodetexto"/>
        <w:spacing w:line="360" w:lineRule="auto"/>
        <w:rPr>
          <w:rFonts w:ascii="Arial" w:hAnsi="Arial" w:cs="Arial"/>
          <w:b/>
          <w:noProof/>
          <w:sz w:val="12"/>
          <w:szCs w:val="12"/>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40" type="#_x0000_t202" style="position:absolute;left:0;text-align:left;margin-left:-21.25pt;margin-top:15.1pt;width:55.9pt;height:123.7pt;z-index:251776512;mso-width-relative:margin;mso-height-relative:margin" strokecolor="#f2f2f2">
            <v:textbox style="layout-flow:vertical;mso-layout-flow-alt:bottom-to-top;mso-next-textbox:#_x0000_s1340">
              <w:txbxContent>
                <w:p w:rsidR="00E92D98" w:rsidRPr="00195CF2" w:rsidRDefault="00E92D98" w:rsidP="0047545A">
                  <w:pPr>
                    <w:jc w:val="center"/>
                    <w:rPr>
                      <w:rFonts w:ascii="Arial" w:hAnsi="Arial" w:cs="Arial"/>
                      <w:b/>
                      <w:sz w:val="18"/>
                      <w:szCs w:val="18"/>
                    </w:rPr>
                  </w:pPr>
                  <w:r w:rsidRPr="00195CF2">
                    <w:rPr>
                      <w:rFonts w:ascii="Arial" w:hAnsi="Arial" w:cs="Arial"/>
                      <w:b/>
                      <w:sz w:val="18"/>
                      <w:szCs w:val="18"/>
                    </w:rPr>
                    <w:t>R.05-D. Quantidade outorgas concedidas para outras interferências em cursos d’água (nº)</w:t>
                  </w:r>
                </w:p>
              </w:txbxContent>
            </v:textbox>
          </v:shape>
        </w:pict>
      </w:r>
      <w:r>
        <w:rPr>
          <w:rFonts w:ascii="Arial" w:hAnsi="Arial" w:cs="Arial"/>
          <w:b/>
          <w:noProof/>
          <w:sz w:val="20"/>
          <w:szCs w:val="20"/>
        </w:rPr>
        <w:pict>
          <v:shape id="_x0000_s1342" type="#_x0000_t202" style="position:absolute;left:0;text-align:left;margin-left:54.3pt;margin-top:15.1pt;width:218.5pt;height:123.7pt;z-index:251778560;mso-wrap-style:none;mso-width-relative:margin;mso-height-relative:margin" strokecolor="white">
            <v:textbox style="mso-next-textbox:#_x0000_s1342">
              <w:txbxContent>
                <w:p w:rsidR="00E92D98" w:rsidRPr="00252C84" w:rsidRDefault="00E92D98" w:rsidP="0047545A">
                  <w:r>
                    <w:rPr>
                      <w:noProof/>
                    </w:rPr>
                    <w:drawing>
                      <wp:inline distT="0" distB="0" distL="0" distR="0">
                        <wp:extent cx="2923953" cy="1488558"/>
                        <wp:effectExtent l="0" t="0" r="0" b="0"/>
                        <wp:docPr id="6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v:textbox>
          </v:shape>
        </w:pict>
      </w:r>
      <w:r>
        <w:rPr>
          <w:rFonts w:ascii="Arial" w:hAnsi="Arial" w:cs="Arial"/>
          <w:b/>
          <w:noProof/>
          <w:sz w:val="20"/>
          <w:szCs w:val="20"/>
        </w:rPr>
        <w:pict>
          <v:shape id="_x0000_s1341" type="#_x0000_t202" style="position:absolute;left:0;text-align:left;margin-left:310.8pt;margin-top:15.1pt;width:198.85pt;height:123.7pt;z-index:251777536;mso-width-relative:margin;mso-height-relative:margin" strokecolor="#f2f2f2">
            <v:textbox style="mso-next-textbox:#_x0000_s1341">
              <w:txbxContent>
                <w:p w:rsidR="00E92D98" w:rsidRPr="00FF2543" w:rsidRDefault="00E92D98" w:rsidP="0047545A">
                  <w:pPr>
                    <w:spacing w:line="240" w:lineRule="atLeast"/>
                    <w:jc w:val="center"/>
                    <w:rPr>
                      <w:b/>
                    </w:rPr>
                  </w:pPr>
                  <w:r w:rsidRPr="00195CF2">
                    <w:rPr>
                      <w:rFonts w:ascii="Arial" w:hAnsi="Arial" w:cs="Arial"/>
                      <w:sz w:val="16"/>
                      <w:szCs w:val="16"/>
                    </w:rPr>
                    <w:t>As outorgas para outras interferências em curso d'água (barramentos, travessias, desassoreamento, lançamentos, canalizações) sofreram um redução no ano de 2010, possivelmente justificável pelo tempo decorrido para a emissão das Portarias de Outo</w:t>
                  </w:r>
                  <w:r>
                    <w:rPr>
                      <w:rFonts w:ascii="Arial" w:hAnsi="Arial" w:cs="Arial"/>
                      <w:sz w:val="16"/>
                      <w:szCs w:val="16"/>
                    </w:rPr>
                    <w:t>r</w:t>
                  </w:r>
                  <w:r w:rsidRPr="00195CF2">
                    <w:rPr>
                      <w:rFonts w:ascii="Arial" w:hAnsi="Arial" w:cs="Arial"/>
                      <w:sz w:val="16"/>
                      <w:szCs w:val="16"/>
                    </w:rPr>
                    <w:t xml:space="preserve">gas pelo DAEE, uma vez, que a tendência indicava o crescimento das regularizações. </w:t>
                  </w:r>
                  <w:r w:rsidRPr="00FF2543">
                    <w:rPr>
                      <w:rFonts w:ascii="Arial" w:hAnsi="Arial" w:cs="Arial"/>
                      <w:b/>
                      <w:sz w:val="16"/>
                      <w:szCs w:val="16"/>
                    </w:rPr>
                    <w:t>Sugere-se intensificação da fiscalização.</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FF2543" w:rsidRDefault="00FF2543" w:rsidP="0047545A">
      <w:pPr>
        <w:pStyle w:val="Corpodetexto"/>
        <w:spacing w:line="360" w:lineRule="auto"/>
        <w:rPr>
          <w:rFonts w:ascii="Arial" w:hAnsi="Arial" w:cs="Arial"/>
          <w:b/>
          <w:noProof/>
          <w:sz w:val="20"/>
          <w:szCs w:val="20"/>
        </w:rPr>
      </w:pPr>
    </w:p>
    <w:p w:rsidR="0047545A" w:rsidRPr="00FF2543" w:rsidRDefault="0047545A" w:rsidP="0047545A">
      <w:pPr>
        <w:pStyle w:val="Corpodetexto"/>
        <w:spacing w:line="360" w:lineRule="auto"/>
        <w:rPr>
          <w:rFonts w:ascii="Arial" w:hAnsi="Arial" w:cs="Arial"/>
          <w:b/>
          <w:noProof/>
          <w:sz w:val="12"/>
          <w:szCs w:val="12"/>
        </w:rPr>
      </w:pPr>
    </w:p>
    <w:p w:rsidR="0047545A" w:rsidRPr="00190436" w:rsidRDefault="008E0DDB" w:rsidP="0047545A">
      <w:pPr>
        <w:jc w:val="both"/>
        <w:rPr>
          <w:rFonts w:ascii="Arial" w:hAnsi="Arial" w:cs="Arial"/>
          <w:b/>
          <w:bCs/>
          <w:color w:val="943634"/>
          <w:sz w:val="20"/>
          <w:szCs w:val="20"/>
        </w:rPr>
      </w:pPr>
      <w:r>
        <w:rPr>
          <w:rFonts w:ascii="Arial" w:hAnsi="Arial" w:cs="Arial"/>
          <w:b/>
          <w:bCs/>
          <w:noProof/>
          <w:color w:val="943634"/>
          <w:sz w:val="20"/>
          <w:szCs w:val="20"/>
          <w:lang w:eastAsia="en-US"/>
        </w:rPr>
        <w:pict>
          <v:shape id="_x0000_s1343" type="#_x0000_t202" style="position:absolute;left:0;text-align:left;margin-left:-21.25pt;margin-top:7.35pt;width:55.9pt;height:117.4pt;z-index:251779584;mso-width-relative:margin;mso-height-relative:margin" fillcolor="#ff6" strokecolor="#f2f2f2">
            <v:textbox style="layout-flow:vertical;mso-layout-flow-alt:bottom-to-top;mso-next-textbox:#_x0000_s1343">
              <w:txbxContent>
                <w:p w:rsidR="00E92D98" w:rsidRPr="00195CF2" w:rsidRDefault="00E92D98" w:rsidP="0047545A">
                  <w:pPr>
                    <w:jc w:val="center"/>
                    <w:rPr>
                      <w:rFonts w:ascii="Arial" w:hAnsi="Arial" w:cs="Arial"/>
                      <w:sz w:val="16"/>
                      <w:szCs w:val="16"/>
                    </w:rPr>
                  </w:pPr>
                  <w:r w:rsidRPr="00195CF2">
                    <w:rPr>
                      <w:rFonts w:ascii="Arial" w:hAnsi="Arial" w:cs="Arial"/>
                      <w:b/>
                      <w:sz w:val="16"/>
                      <w:szCs w:val="16"/>
                    </w:rPr>
                    <w:t>R.05-G Vazão outorgada para usos urbanos /  Volume estimado para abastecimento urbano (%)</w:t>
                  </w:r>
                </w:p>
              </w:txbxContent>
            </v:textbox>
          </v:shape>
        </w:pict>
      </w:r>
      <w:r w:rsidRPr="008E0DDB">
        <w:rPr>
          <w:rFonts w:ascii="Arial" w:hAnsi="Arial" w:cs="Arial"/>
          <w:b/>
          <w:noProof/>
          <w:sz w:val="20"/>
          <w:szCs w:val="20"/>
        </w:rPr>
        <w:pict>
          <v:shape id="_x0000_s1449" type="#_x0000_t202" style="position:absolute;left:0;text-align:left;margin-left:54.75pt;margin-top:7.35pt;width:217.8pt;height:117.4pt;z-index:251888128;mso-wrap-style:none;mso-width-relative:margin;mso-height-relative:margin" strokecolor="white">
            <v:textbox style="mso-next-textbox:#_x0000_s1449">
              <w:txbxContent>
                <w:p w:rsidR="00E92D98" w:rsidRPr="00195CF2" w:rsidRDefault="00E92D98" w:rsidP="0047545A">
                  <w:r>
                    <w:rPr>
                      <w:noProof/>
                    </w:rPr>
                    <w:drawing>
                      <wp:inline distT="0" distB="0" distL="0" distR="0">
                        <wp:extent cx="2576830" cy="1449070"/>
                        <wp:effectExtent l="0" t="0" r="0" b="0"/>
                        <wp:docPr id="64"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v:shape>
        </w:pict>
      </w:r>
      <w:r w:rsidRPr="008E0DDB">
        <w:rPr>
          <w:rFonts w:ascii="Arial" w:hAnsi="Arial" w:cs="Arial"/>
          <w:b/>
          <w:noProof/>
          <w:sz w:val="20"/>
          <w:szCs w:val="20"/>
        </w:rPr>
        <w:pict>
          <v:shape id="_x0000_s1344" type="#_x0000_t202" style="position:absolute;left:0;text-align:left;margin-left:310.8pt;margin-top:7.35pt;width:198.85pt;height:117.4pt;z-index:251780608;mso-width-relative:margin;mso-height-relative:margin" strokecolor="#f2f2f2">
            <v:textbox style="mso-next-textbox:#_x0000_s1344">
              <w:txbxContent>
                <w:p w:rsidR="00E92D98" w:rsidRPr="00FF2543" w:rsidRDefault="00E92D98" w:rsidP="0047545A">
                  <w:pPr>
                    <w:spacing w:line="240" w:lineRule="atLeast"/>
                    <w:jc w:val="center"/>
                    <w:rPr>
                      <w:rFonts w:ascii="Arial" w:hAnsi="Arial" w:cs="Arial"/>
                      <w:b/>
                      <w:sz w:val="16"/>
                      <w:szCs w:val="16"/>
                    </w:rPr>
                  </w:pPr>
                  <w:r w:rsidRPr="00195CF2">
                    <w:rPr>
                      <w:rFonts w:ascii="Arial" w:hAnsi="Arial" w:cs="Arial"/>
                      <w:sz w:val="16"/>
                      <w:szCs w:val="16"/>
                    </w:rPr>
                    <w:t xml:space="preserve">Observa-se a manutenção de vazões outorgadas nos últimos dois anos para captação superficial e subterrânea (urbana+rural), e da demanda para abastecimento, sendo que o gráfico evidencia aumento do volume estimado para abastecimento, resultando da proporção de vazão outorgada por volume estimado para abastecimento urbano 39,75%. </w:t>
                  </w:r>
                  <w:r w:rsidRPr="00FF2543">
                    <w:rPr>
                      <w:rFonts w:ascii="Arial" w:hAnsi="Arial" w:cs="Arial"/>
                      <w:b/>
                      <w:sz w:val="16"/>
                      <w:szCs w:val="16"/>
                    </w:rPr>
                    <w:t>Sugerimos atualização dos dados disponibilizados pelo SNIS e DAEE.</w:t>
                  </w:r>
                </w:p>
              </w:txbxContent>
            </v:textbox>
          </v:shape>
        </w:pict>
      </w:r>
    </w:p>
    <w:p w:rsidR="0047545A" w:rsidRDefault="0047545A" w:rsidP="0047545A">
      <w:pPr>
        <w:pStyle w:val="Corpodetexto"/>
        <w:spacing w:line="360" w:lineRule="auto"/>
        <w:rPr>
          <w:rFonts w:ascii="Arial" w:hAnsi="Arial" w:cs="Arial"/>
          <w:b/>
          <w:noProof/>
          <w:sz w:val="20"/>
          <w:szCs w:val="20"/>
        </w:rPr>
      </w:pPr>
      <w:r>
        <w:rPr>
          <w:rFonts w:ascii="Arial" w:hAnsi="Arial" w:cs="Arial"/>
          <w:b/>
          <w:noProof/>
          <w:sz w:val="20"/>
          <w:szCs w:val="20"/>
        </w:rPr>
        <w:t xml:space="preserve">                     </w: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FF2543" w:rsidRDefault="00FF2543" w:rsidP="0047545A">
      <w:pPr>
        <w:pStyle w:val="Corpodetexto"/>
        <w:spacing w:line="360" w:lineRule="auto"/>
        <w:rPr>
          <w:rFonts w:ascii="Arial" w:hAnsi="Arial" w:cs="Arial"/>
          <w:b/>
          <w:noProof/>
          <w:sz w:val="12"/>
          <w:szCs w:val="12"/>
        </w:rPr>
      </w:pPr>
    </w:p>
    <w:p w:rsidR="00FF2543" w:rsidRPr="00FF2543" w:rsidRDefault="00FF2543" w:rsidP="0047545A">
      <w:pPr>
        <w:pStyle w:val="Corpodetexto"/>
        <w:spacing w:line="360" w:lineRule="auto"/>
        <w:rPr>
          <w:rFonts w:ascii="Arial" w:hAnsi="Arial" w:cs="Arial"/>
          <w:b/>
          <w:noProof/>
          <w:sz w:val="12"/>
          <w:szCs w:val="12"/>
        </w:rPr>
      </w:pPr>
    </w:p>
    <w:p w:rsidR="0047545A" w:rsidRDefault="008E0DDB" w:rsidP="0047545A">
      <w:pPr>
        <w:pStyle w:val="Corpodetexto"/>
        <w:spacing w:line="360" w:lineRule="auto"/>
        <w:rPr>
          <w:rFonts w:ascii="Arial" w:hAnsi="Arial" w:cs="Arial"/>
          <w:b/>
          <w:noProof/>
          <w:sz w:val="20"/>
          <w:szCs w:val="20"/>
        </w:rPr>
      </w:pPr>
      <w:r>
        <w:rPr>
          <w:rFonts w:ascii="Arial" w:hAnsi="Arial" w:cs="Arial"/>
          <w:b/>
          <w:noProof/>
          <w:sz w:val="20"/>
          <w:szCs w:val="20"/>
        </w:rPr>
        <w:pict>
          <v:shape id="_x0000_s1346" type="#_x0000_t202" style="position:absolute;left:0;text-align:left;margin-left:310.8pt;margin-top:8.2pt;width:198.85pt;height:157.5pt;z-index:251782656;mso-width-relative:margin;mso-height-relative:margin" strokecolor="#f2f2f2">
            <v:textbox style="mso-next-textbox:#_x0000_s1346">
              <w:txbxContent>
                <w:p w:rsidR="00E92D98" w:rsidRPr="00FF2543" w:rsidRDefault="00E92D98" w:rsidP="0047545A">
                  <w:pPr>
                    <w:spacing w:line="240" w:lineRule="atLeast"/>
                    <w:jc w:val="center"/>
                    <w:rPr>
                      <w:rFonts w:ascii="Arial" w:hAnsi="Arial" w:cs="Arial"/>
                      <w:sz w:val="16"/>
                      <w:szCs w:val="16"/>
                    </w:rPr>
                  </w:pPr>
                  <w:r w:rsidRPr="00FF2543">
                    <w:rPr>
                      <w:rFonts w:ascii="Arial" w:hAnsi="Arial" w:cs="Arial"/>
                      <w:sz w:val="16"/>
                      <w:szCs w:val="16"/>
                    </w:rPr>
                    <w:t>Na UGRHI-08 encontram-se duas Unidades de Conservação em âmbito Estadual: Parque Estadual Furnas do Bom Jesus (2000 ha) no município de Pedregulho e uma em Batatais denominada Floresta Estadual de Batatais (800 ha). Destacamos que em âmbito municipal a UGRHI-08 apresenta: Jardim Zoobotânico (200ha) e APA do Canoas (3600 ha), Parque Ecológico Municipal Dr. João Roberto Corrêa (13,6 ha), em Franca, Estação de Zoobotânica (5 ha) em Guará, Horto Florestal Sábio de Melo (10 ha) em de Cristais Paulista.</w:t>
                  </w:r>
                </w:p>
              </w:txbxContent>
            </v:textbox>
          </v:shape>
        </w:pict>
      </w:r>
      <w:r>
        <w:rPr>
          <w:rFonts w:ascii="Arial" w:hAnsi="Arial" w:cs="Arial"/>
          <w:b/>
          <w:noProof/>
          <w:sz w:val="20"/>
          <w:szCs w:val="20"/>
        </w:rPr>
        <w:pict>
          <v:shape id="_x0000_s1347" type="#_x0000_t202" style="position:absolute;left:0;text-align:left;margin-left:46.65pt;margin-top:8.2pt;width:241.05pt;height:122.2pt;z-index:251783680;mso-width-relative:margin;mso-height-relative:margin" fillcolor="#cfc" strokecolor="white">
            <v:textbox style="mso-next-textbox:#_x0000_s1347">
              <w:txbxContent>
                <w:p w:rsidR="00E92D98" w:rsidRDefault="00E92D98" w:rsidP="0047545A">
                  <w:pPr>
                    <w:jc w:val="center"/>
                    <w:rPr>
                      <w:rFonts w:ascii="Arial" w:hAnsi="Arial" w:cs="Arial"/>
                      <w:b/>
                      <w:sz w:val="16"/>
                      <w:szCs w:val="16"/>
                    </w:rPr>
                  </w:pPr>
                </w:p>
                <w:p w:rsidR="00E92D98" w:rsidRPr="00195CF2" w:rsidRDefault="00E92D98" w:rsidP="0047545A">
                  <w:pPr>
                    <w:jc w:val="center"/>
                    <w:rPr>
                      <w:rFonts w:ascii="Arial" w:hAnsi="Arial" w:cs="Arial"/>
                      <w:b/>
                      <w:sz w:val="20"/>
                      <w:szCs w:val="20"/>
                    </w:rPr>
                  </w:pPr>
                </w:p>
                <w:p w:rsidR="00E92D98" w:rsidRPr="00195CF2" w:rsidRDefault="00E92D98" w:rsidP="0047545A">
                  <w:pPr>
                    <w:jc w:val="center"/>
                    <w:rPr>
                      <w:rFonts w:ascii="Arial" w:hAnsi="Arial" w:cs="Arial"/>
                      <w:b/>
                      <w:sz w:val="20"/>
                      <w:szCs w:val="20"/>
                    </w:rPr>
                  </w:pPr>
                  <w:r w:rsidRPr="00195CF2">
                    <w:rPr>
                      <w:rFonts w:ascii="Arial" w:hAnsi="Arial" w:cs="Arial"/>
                      <w:b/>
                      <w:sz w:val="20"/>
                      <w:szCs w:val="20"/>
                    </w:rPr>
                    <w:t>2008: 2 Unidades de Conservação.</w:t>
                  </w:r>
                </w:p>
                <w:p w:rsidR="00E92D98" w:rsidRDefault="00E92D98" w:rsidP="0047545A">
                  <w:pPr>
                    <w:jc w:val="center"/>
                    <w:rPr>
                      <w:rFonts w:ascii="Arial" w:hAnsi="Arial" w:cs="Arial"/>
                      <w:b/>
                      <w:sz w:val="16"/>
                      <w:szCs w:val="16"/>
                    </w:rPr>
                  </w:pPr>
                </w:p>
              </w:txbxContent>
            </v:textbox>
          </v:shape>
        </w:pict>
      </w:r>
      <w:r>
        <w:rPr>
          <w:rFonts w:ascii="Arial" w:hAnsi="Arial" w:cs="Arial"/>
          <w:b/>
          <w:noProof/>
          <w:sz w:val="20"/>
          <w:szCs w:val="20"/>
        </w:rPr>
        <w:pict>
          <v:shape id="_x0000_s1345" type="#_x0000_t202" style="position:absolute;left:0;text-align:left;margin-left:-21.25pt;margin-top:8.2pt;width:55.9pt;height:122.2pt;z-index:251781632;mso-width-relative:margin;mso-height-relative:margin" strokecolor="#f2f2f2">
            <v:textbox style="layout-flow:vertical;mso-layout-flow-alt:bottom-to-top;mso-next-textbox:#_x0000_s1345">
              <w:txbxContent>
                <w:p w:rsidR="00E92D98" w:rsidRPr="00195CF2" w:rsidRDefault="00E92D98" w:rsidP="0047545A">
                  <w:pPr>
                    <w:jc w:val="center"/>
                    <w:rPr>
                      <w:rFonts w:ascii="Arial" w:hAnsi="Arial" w:cs="Arial"/>
                      <w:b/>
                      <w:sz w:val="18"/>
                      <w:szCs w:val="18"/>
                    </w:rPr>
                  </w:pPr>
                  <w:r w:rsidRPr="00195CF2">
                    <w:rPr>
                      <w:rFonts w:ascii="Arial" w:hAnsi="Arial" w:cs="Arial"/>
                      <w:b/>
                      <w:sz w:val="18"/>
                      <w:szCs w:val="18"/>
                    </w:rPr>
                    <w:t>R.09-A Quantidade de Unidades de Conservação (UC) (n°)</w:t>
                  </w:r>
                </w:p>
              </w:txbxContent>
            </v:textbox>
          </v:shape>
        </w:pict>
      </w: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Default="0047545A" w:rsidP="0047545A">
      <w:pPr>
        <w:pStyle w:val="Corpodetexto"/>
        <w:spacing w:line="360" w:lineRule="auto"/>
        <w:rPr>
          <w:rFonts w:ascii="Arial" w:hAnsi="Arial" w:cs="Arial"/>
          <w:b/>
          <w:noProof/>
          <w:sz w:val="20"/>
          <w:szCs w:val="20"/>
        </w:rPr>
      </w:pPr>
    </w:p>
    <w:p w:rsidR="0047545A" w:rsidRPr="00252C84" w:rsidRDefault="0047545A" w:rsidP="0047545A">
      <w:pPr>
        <w:pStyle w:val="Corpodetexto"/>
        <w:spacing w:line="360" w:lineRule="auto"/>
        <w:rPr>
          <w:rFonts w:ascii="Arial" w:hAnsi="Arial" w:cs="Arial"/>
          <w:b/>
          <w:noProof/>
          <w:sz w:val="20"/>
          <w:szCs w:val="20"/>
        </w:rPr>
      </w:pPr>
    </w:p>
    <w:p w:rsidR="00BE215F" w:rsidRDefault="00BE215F" w:rsidP="00BE215F">
      <w:pPr>
        <w:rPr>
          <w:rFonts w:ascii="Arial" w:hAnsi="Arial" w:cs="Arial"/>
          <w:b/>
          <w:bCs/>
          <w:sz w:val="22"/>
          <w:szCs w:val="22"/>
        </w:rPr>
      </w:pPr>
    </w:p>
    <w:p w:rsidR="00BE215F" w:rsidRDefault="00BE215F" w:rsidP="00BE215F">
      <w:pPr>
        <w:rPr>
          <w:rFonts w:ascii="Arial" w:hAnsi="Arial" w:cs="Arial"/>
          <w:b/>
          <w:bCs/>
          <w:sz w:val="22"/>
          <w:szCs w:val="22"/>
        </w:rPr>
      </w:pPr>
    </w:p>
    <w:p w:rsidR="00FF2543" w:rsidRDefault="00FF2543" w:rsidP="00BE215F">
      <w:pPr>
        <w:rPr>
          <w:rFonts w:ascii="Arial" w:hAnsi="Arial" w:cs="Arial"/>
          <w:b/>
          <w:bCs/>
          <w:sz w:val="22"/>
          <w:szCs w:val="22"/>
        </w:rPr>
      </w:pPr>
    </w:p>
    <w:p w:rsidR="00A7054A" w:rsidRPr="0015664A" w:rsidRDefault="00A7054A" w:rsidP="0015334F">
      <w:pPr>
        <w:pStyle w:val="PargrafodaLista"/>
        <w:numPr>
          <w:ilvl w:val="0"/>
          <w:numId w:val="1"/>
        </w:numPr>
        <w:rPr>
          <w:rFonts w:ascii="Arial" w:hAnsi="Arial" w:cs="Arial"/>
          <w:b/>
          <w:bCs/>
          <w:sz w:val="22"/>
          <w:szCs w:val="22"/>
        </w:rPr>
      </w:pPr>
      <w:r w:rsidRPr="0015664A">
        <w:rPr>
          <w:rFonts w:ascii="Arial" w:hAnsi="Arial" w:cs="Arial"/>
          <w:b/>
          <w:bCs/>
          <w:sz w:val="22"/>
          <w:szCs w:val="22"/>
        </w:rPr>
        <w:t>Conclusão</w:t>
      </w:r>
    </w:p>
    <w:p w:rsidR="00A7054A" w:rsidRPr="0015664A" w:rsidRDefault="00A7054A" w:rsidP="00A7054A">
      <w:pPr>
        <w:rPr>
          <w:rFonts w:ascii="Arial" w:hAnsi="Arial" w:cs="Arial"/>
          <w:b/>
          <w:bCs/>
          <w:sz w:val="22"/>
          <w:szCs w:val="22"/>
        </w:rPr>
      </w:pPr>
    </w:p>
    <w:p w:rsidR="00A7054A" w:rsidRPr="0015664A" w:rsidRDefault="00A7054A" w:rsidP="00A7054A">
      <w:pPr>
        <w:rPr>
          <w:rFonts w:ascii="Arial" w:hAnsi="Arial" w:cs="Arial"/>
          <w:b/>
          <w:bCs/>
          <w:sz w:val="22"/>
          <w:szCs w:val="22"/>
        </w:rPr>
      </w:pPr>
    </w:p>
    <w:p w:rsidR="00A7054A" w:rsidRDefault="0051644D" w:rsidP="007D00CC">
      <w:pPr>
        <w:rPr>
          <w:rFonts w:ascii="Arial" w:hAnsi="Arial" w:cs="Arial"/>
          <w:b/>
          <w:bCs/>
          <w:sz w:val="22"/>
          <w:szCs w:val="22"/>
        </w:rPr>
      </w:pPr>
      <w:r w:rsidRPr="0015664A">
        <w:rPr>
          <w:rFonts w:ascii="Arial" w:hAnsi="Arial" w:cs="Arial"/>
          <w:b/>
          <w:bCs/>
          <w:sz w:val="22"/>
          <w:szCs w:val="22"/>
        </w:rPr>
        <w:t xml:space="preserve">- </w:t>
      </w:r>
      <w:r w:rsidR="00A7054A" w:rsidRPr="0015664A">
        <w:rPr>
          <w:rFonts w:ascii="Arial" w:hAnsi="Arial" w:cs="Arial"/>
          <w:b/>
          <w:bCs/>
          <w:sz w:val="22"/>
          <w:szCs w:val="22"/>
        </w:rPr>
        <w:t>Indicador Social</w:t>
      </w:r>
    </w:p>
    <w:p w:rsidR="002D0849" w:rsidRPr="0015664A" w:rsidRDefault="002D0849" w:rsidP="007D00CC">
      <w:pPr>
        <w:rPr>
          <w:rFonts w:ascii="Arial" w:hAnsi="Arial" w:cs="Arial"/>
          <w:b/>
          <w:bCs/>
          <w:sz w:val="22"/>
          <w:szCs w:val="22"/>
        </w:rPr>
      </w:pPr>
    </w:p>
    <w:p w:rsidR="0051644D" w:rsidRPr="0015664A" w:rsidRDefault="0051644D" w:rsidP="0015664A">
      <w:pPr>
        <w:pStyle w:val="Corpodetexto2"/>
        <w:spacing w:after="0" w:line="360" w:lineRule="auto"/>
        <w:jc w:val="both"/>
        <w:rPr>
          <w:rFonts w:cs="Arial"/>
          <w:sz w:val="22"/>
          <w:szCs w:val="22"/>
        </w:rPr>
      </w:pPr>
      <w:r w:rsidRPr="0015664A">
        <w:rPr>
          <w:rFonts w:cs="Arial"/>
          <w:sz w:val="22"/>
          <w:szCs w:val="22"/>
        </w:rPr>
        <w:t xml:space="preserve">Dez municípios enquadram-se no grupo 4 - baixa riqueza, baixa longevidade e média escolaridade ou baixa riqueza, baixa longevidade e alta escolaridade ou baixa riqueza, média longevidade e baixa escolaridade ou baixa riqueza, alta longevidade e baixa escolaridade. Classificação que pode ser devido </w:t>
      </w:r>
      <w:r w:rsidR="00C6472A" w:rsidRPr="0015664A">
        <w:rPr>
          <w:rFonts w:cs="Arial"/>
          <w:sz w:val="22"/>
          <w:szCs w:val="22"/>
        </w:rPr>
        <w:t>à</w:t>
      </w:r>
      <w:r w:rsidRPr="0015664A">
        <w:rPr>
          <w:rFonts w:cs="Arial"/>
          <w:sz w:val="22"/>
          <w:szCs w:val="22"/>
        </w:rPr>
        <w:t xml:space="preserve"> evolução do agronegócio</w:t>
      </w:r>
      <w:r w:rsidR="00C6472A" w:rsidRPr="0015664A">
        <w:rPr>
          <w:rFonts w:cs="Arial"/>
          <w:sz w:val="22"/>
          <w:szCs w:val="22"/>
        </w:rPr>
        <w:t>, principalmente o cultivo da cana de açúcar, influenciando</w:t>
      </w:r>
      <w:r w:rsidRPr="0015664A">
        <w:rPr>
          <w:rFonts w:cs="Arial"/>
          <w:sz w:val="22"/>
          <w:szCs w:val="22"/>
        </w:rPr>
        <w:t xml:space="preserve"> na </w:t>
      </w:r>
      <w:r w:rsidR="00C6472A" w:rsidRPr="0015664A">
        <w:rPr>
          <w:rFonts w:cs="Arial"/>
          <w:sz w:val="22"/>
          <w:szCs w:val="22"/>
        </w:rPr>
        <w:t>dinâmica socioeconômica</w:t>
      </w:r>
      <w:r w:rsidRPr="0015664A">
        <w:rPr>
          <w:rFonts w:cs="Arial"/>
          <w:sz w:val="22"/>
          <w:szCs w:val="22"/>
        </w:rPr>
        <w:t xml:space="preserve"> da bacia.</w:t>
      </w:r>
      <w:r w:rsidR="00C6472A" w:rsidRPr="0015664A">
        <w:rPr>
          <w:rFonts w:cs="Arial"/>
          <w:sz w:val="22"/>
          <w:szCs w:val="22"/>
        </w:rPr>
        <w:t xml:space="preserve"> As </w:t>
      </w:r>
      <w:r w:rsidRPr="0015664A">
        <w:rPr>
          <w:rFonts w:cs="Arial"/>
          <w:sz w:val="22"/>
          <w:szCs w:val="22"/>
        </w:rPr>
        <w:t>condições socioeconômicas</w:t>
      </w:r>
      <w:r w:rsidR="00C6472A" w:rsidRPr="0015664A">
        <w:rPr>
          <w:rFonts w:cs="Arial"/>
          <w:sz w:val="22"/>
          <w:szCs w:val="22"/>
        </w:rPr>
        <w:t xml:space="preserve"> estão diretamente ligadas </w:t>
      </w:r>
      <w:r w:rsidRPr="0015664A">
        <w:rPr>
          <w:rFonts w:cs="Arial"/>
          <w:sz w:val="22"/>
          <w:szCs w:val="22"/>
        </w:rPr>
        <w:t xml:space="preserve">à qualidade e disponibilidade dos recursos </w:t>
      </w:r>
      <w:r w:rsidR="00C6472A" w:rsidRPr="0015664A">
        <w:rPr>
          <w:rFonts w:cs="Arial"/>
          <w:sz w:val="22"/>
          <w:szCs w:val="22"/>
        </w:rPr>
        <w:t>hídricos</w:t>
      </w:r>
      <w:r w:rsidRPr="0015664A">
        <w:rPr>
          <w:rFonts w:cs="Arial"/>
          <w:sz w:val="22"/>
          <w:szCs w:val="22"/>
        </w:rPr>
        <w:t xml:space="preserve">, </w:t>
      </w:r>
      <w:r w:rsidR="00C6472A" w:rsidRPr="0015664A">
        <w:rPr>
          <w:rFonts w:cs="Arial"/>
          <w:sz w:val="22"/>
          <w:szCs w:val="22"/>
        </w:rPr>
        <w:t>decorrendo de uso e ocupação do solo desordenada, disponibilidade precária de abastecimento e saneamento básico</w:t>
      </w:r>
      <w:r w:rsidRPr="0015664A">
        <w:rPr>
          <w:rFonts w:cs="Arial"/>
          <w:sz w:val="22"/>
          <w:szCs w:val="22"/>
        </w:rPr>
        <w:t>, apresentando repercussão maior nos municípios menores.</w:t>
      </w:r>
      <w:r w:rsidR="00FF2543">
        <w:rPr>
          <w:rFonts w:cs="Arial"/>
          <w:sz w:val="22"/>
          <w:szCs w:val="22"/>
        </w:rPr>
        <w:t xml:space="preserve"> Sugere-se para a gestão à polí</w:t>
      </w:r>
      <w:r w:rsidR="00C6472A" w:rsidRPr="0015664A">
        <w:rPr>
          <w:rFonts w:cs="Arial"/>
          <w:sz w:val="22"/>
          <w:szCs w:val="22"/>
        </w:rPr>
        <w:t xml:space="preserve">ticas restritivas de uso e ocupação do solo, políticas de fornecimento de água tratada e políticas de saneamento básico. </w:t>
      </w:r>
    </w:p>
    <w:p w:rsidR="00C6472A" w:rsidRPr="0015664A" w:rsidRDefault="00C6472A" w:rsidP="0051644D">
      <w:pPr>
        <w:jc w:val="both"/>
        <w:rPr>
          <w:rFonts w:ascii="Arial" w:hAnsi="Arial" w:cs="Arial"/>
          <w:bCs/>
          <w:sz w:val="22"/>
          <w:szCs w:val="22"/>
        </w:rPr>
      </w:pPr>
    </w:p>
    <w:p w:rsidR="00A7054A" w:rsidRPr="002D0849" w:rsidRDefault="00A7054A" w:rsidP="00A7054A">
      <w:pPr>
        <w:jc w:val="center"/>
        <w:rPr>
          <w:rFonts w:ascii="Arial" w:hAnsi="Arial" w:cs="Arial"/>
          <w:bCs/>
          <w:sz w:val="20"/>
          <w:szCs w:val="20"/>
        </w:rPr>
      </w:pPr>
      <w:r w:rsidRPr="002D0849">
        <w:rPr>
          <w:rFonts w:ascii="Arial" w:hAnsi="Arial" w:cs="Arial"/>
          <w:bCs/>
          <w:sz w:val="20"/>
          <w:szCs w:val="20"/>
        </w:rPr>
        <w:t>Índice Paulista de Responsabilidade Social – IPRS</w:t>
      </w:r>
    </w:p>
    <w:p w:rsidR="00A7054A" w:rsidRPr="0015664A" w:rsidRDefault="008E0DDB" w:rsidP="00A7054A">
      <w:pPr>
        <w:jc w:val="center"/>
        <w:rPr>
          <w:rFonts w:ascii="Arial" w:hAnsi="Arial" w:cs="Arial"/>
          <w:b/>
          <w:bCs/>
          <w:sz w:val="22"/>
          <w:szCs w:val="22"/>
        </w:rPr>
      </w:pPr>
      <w:r w:rsidRPr="008E0DDB">
        <w:rPr>
          <w:rFonts w:ascii="Arial" w:hAnsi="Arial" w:cs="Arial"/>
          <w:noProof/>
          <w:sz w:val="22"/>
          <w:szCs w:val="22"/>
        </w:rPr>
        <w:pict>
          <v:shape id="_x0000_s1034" type="#_x0000_t202" style="position:absolute;left:0;text-align:left;margin-left:137pt;margin-top:5.05pt;width:224.65pt;height:136.95pt;z-index:25162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F8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TuLASLJW6wfiVmH45jTWpLQovvBWU8j&#10;XnH//QGc5Ex/MNSdi+l8HnciKfPFeUGKO7VsTy1gBEFVPHA2iuuQ9ijxZq+pixuV+H3J5JAyjW6i&#10;/bBmcTdO9eT18jNYPQ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9V4F8LgIAAFQEAAAOAAAAAAAAAAAAAAAAAC4CAABkcnMv&#10;ZTJvRG9jLnhtbFBLAQItABQABgAIAAAAIQD9LzLW2wAAAAUBAAAPAAAAAAAAAAAAAAAAAIgEAABk&#10;cnMvZG93bnJldi54bWxQSwUGAAAAAAQABADzAAAAkAUAAAAA&#10;" stroked="f">
            <v:textbox style="mso-next-textbox:#_x0000_s1034">
              <w:txbxContent>
                <w:p w:rsidR="00E92D98" w:rsidRDefault="00E92D98">
                  <w:r>
                    <w:rPr>
                      <w:noProof/>
                    </w:rPr>
                    <w:drawing>
                      <wp:inline distT="0" distB="0" distL="0" distR="0">
                        <wp:extent cx="2609850" cy="149542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v:shape>
        </w:pict>
      </w: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Pr="0015664A" w:rsidRDefault="00A7054A" w:rsidP="00A7054A">
      <w:pPr>
        <w:jc w:val="center"/>
        <w:rPr>
          <w:rFonts w:ascii="Arial" w:hAnsi="Arial" w:cs="Arial"/>
          <w:b/>
          <w:bCs/>
          <w:sz w:val="22"/>
          <w:szCs w:val="22"/>
        </w:rPr>
      </w:pPr>
    </w:p>
    <w:p w:rsidR="00A7054A" w:rsidRDefault="00A7054A" w:rsidP="00A7054A">
      <w:pPr>
        <w:jc w:val="center"/>
        <w:rPr>
          <w:rFonts w:ascii="Arial" w:hAnsi="Arial" w:cs="Arial"/>
          <w:b/>
          <w:bCs/>
          <w:sz w:val="22"/>
          <w:szCs w:val="22"/>
        </w:rPr>
      </w:pPr>
    </w:p>
    <w:p w:rsidR="0015664A" w:rsidRDefault="0015664A" w:rsidP="00A7054A">
      <w:pPr>
        <w:jc w:val="center"/>
        <w:rPr>
          <w:rFonts w:ascii="Arial" w:hAnsi="Arial" w:cs="Arial"/>
          <w:b/>
          <w:bCs/>
          <w:sz w:val="22"/>
          <w:szCs w:val="22"/>
        </w:rPr>
      </w:pPr>
    </w:p>
    <w:p w:rsidR="0015664A" w:rsidRPr="0015664A" w:rsidRDefault="0015664A" w:rsidP="00A7054A">
      <w:pPr>
        <w:jc w:val="center"/>
        <w:rPr>
          <w:rFonts w:ascii="Arial" w:hAnsi="Arial" w:cs="Arial"/>
          <w:b/>
          <w:bCs/>
          <w:sz w:val="22"/>
          <w:szCs w:val="22"/>
        </w:rPr>
      </w:pPr>
    </w:p>
    <w:p w:rsidR="00A7054A" w:rsidRDefault="00A7054A" w:rsidP="00A7054A">
      <w:pPr>
        <w:jc w:val="center"/>
        <w:rPr>
          <w:rFonts w:ascii="Arial" w:hAnsi="Arial" w:cs="Arial"/>
          <w:b/>
          <w:bCs/>
          <w:sz w:val="22"/>
          <w:szCs w:val="22"/>
        </w:rPr>
      </w:pPr>
    </w:p>
    <w:p w:rsidR="002D0849" w:rsidRPr="0015664A" w:rsidRDefault="002D0849" w:rsidP="00A7054A">
      <w:pPr>
        <w:jc w:val="center"/>
        <w:rPr>
          <w:rFonts w:ascii="Arial" w:hAnsi="Arial" w:cs="Arial"/>
          <w:b/>
          <w:bCs/>
          <w:sz w:val="22"/>
          <w:szCs w:val="22"/>
        </w:rPr>
      </w:pPr>
    </w:p>
    <w:p w:rsidR="00A7054A" w:rsidRDefault="00394952" w:rsidP="007D00CC">
      <w:pPr>
        <w:jc w:val="both"/>
        <w:rPr>
          <w:rFonts w:ascii="Arial" w:hAnsi="Arial" w:cs="Arial"/>
          <w:b/>
          <w:bCs/>
          <w:sz w:val="22"/>
          <w:szCs w:val="22"/>
        </w:rPr>
      </w:pPr>
      <w:r w:rsidRPr="0015664A">
        <w:rPr>
          <w:rFonts w:ascii="Arial" w:hAnsi="Arial" w:cs="Arial"/>
          <w:b/>
          <w:bCs/>
          <w:sz w:val="22"/>
          <w:szCs w:val="22"/>
        </w:rPr>
        <w:t xml:space="preserve">- </w:t>
      </w:r>
      <w:r w:rsidR="00A7054A" w:rsidRPr="0015664A">
        <w:rPr>
          <w:rFonts w:ascii="Arial" w:hAnsi="Arial" w:cs="Arial"/>
          <w:b/>
          <w:bCs/>
          <w:sz w:val="22"/>
          <w:szCs w:val="22"/>
        </w:rPr>
        <w:t>Disponibilidade Hídrica</w:t>
      </w:r>
    </w:p>
    <w:p w:rsidR="002D0849" w:rsidRPr="0015664A" w:rsidRDefault="002D0849" w:rsidP="007D00CC">
      <w:pPr>
        <w:jc w:val="both"/>
        <w:rPr>
          <w:rFonts w:ascii="Arial" w:hAnsi="Arial" w:cs="Arial"/>
          <w:b/>
          <w:bCs/>
          <w:sz w:val="22"/>
          <w:szCs w:val="22"/>
        </w:rPr>
      </w:pPr>
    </w:p>
    <w:p w:rsidR="003F2CA6" w:rsidRPr="0015664A" w:rsidRDefault="004441E9" w:rsidP="0015664A">
      <w:pPr>
        <w:spacing w:line="360" w:lineRule="auto"/>
        <w:jc w:val="both"/>
        <w:rPr>
          <w:rFonts w:ascii="Arial" w:hAnsi="Arial" w:cs="Arial"/>
          <w:sz w:val="22"/>
          <w:szCs w:val="22"/>
        </w:rPr>
      </w:pPr>
      <w:r w:rsidRPr="0015664A">
        <w:rPr>
          <w:rFonts w:ascii="Arial" w:hAnsi="Arial" w:cs="Arial"/>
          <w:sz w:val="22"/>
          <w:szCs w:val="22"/>
        </w:rPr>
        <w:t xml:space="preserve">A evolução dos indicadores referentes à demanda total de água em relação </w:t>
      </w:r>
      <w:r w:rsidR="007D00CC" w:rsidRPr="0015664A">
        <w:rPr>
          <w:rFonts w:ascii="Arial" w:hAnsi="Arial" w:cs="Arial"/>
          <w:sz w:val="22"/>
          <w:szCs w:val="22"/>
        </w:rPr>
        <w:t>à</w:t>
      </w:r>
      <w:r w:rsidRPr="0015664A">
        <w:rPr>
          <w:rFonts w:ascii="Arial" w:hAnsi="Arial" w:cs="Arial"/>
          <w:sz w:val="22"/>
          <w:szCs w:val="22"/>
        </w:rPr>
        <w:t xml:space="preserve"> disponibilidade hídrica total na UGRHI 08</w:t>
      </w:r>
      <w:r w:rsidR="007D00CC" w:rsidRPr="0015664A">
        <w:rPr>
          <w:rFonts w:ascii="Arial" w:hAnsi="Arial" w:cs="Arial"/>
          <w:sz w:val="22"/>
          <w:szCs w:val="22"/>
        </w:rPr>
        <w:t>. O</w:t>
      </w:r>
      <w:r w:rsidR="003F2CA6" w:rsidRPr="0015664A">
        <w:rPr>
          <w:rFonts w:ascii="Arial" w:hAnsi="Arial" w:cs="Arial"/>
          <w:sz w:val="22"/>
          <w:szCs w:val="22"/>
        </w:rPr>
        <w:t>bserva-se uma progressiva redução da disponibilidade hídrica, em função do crescimento populacional. Em relação à disponibilidade das águas superficiais, a Bacia do Ribeirão dos Jardins, no município de Guaíra, já se encontra em situação de criticidade</w:t>
      </w:r>
      <w:r w:rsidR="007D00CC" w:rsidRPr="0015664A">
        <w:rPr>
          <w:rFonts w:ascii="Arial" w:hAnsi="Arial" w:cs="Arial"/>
          <w:sz w:val="22"/>
          <w:szCs w:val="22"/>
        </w:rPr>
        <w:t>, na qual a demanda predominante é a irrigação</w:t>
      </w:r>
      <w:r w:rsidR="003F2CA6" w:rsidRPr="0015664A">
        <w:rPr>
          <w:rFonts w:ascii="Arial" w:hAnsi="Arial" w:cs="Arial"/>
          <w:sz w:val="22"/>
          <w:szCs w:val="22"/>
        </w:rPr>
        <w:t xml:space="preserve">, conforme definição da Lei Estadual n° 9034/94 e deliberada pelo CBH-SMG por meio da Deliberação CBH-SMG nº. </w:t>
      </w:r>
      <w:r w:rsidR="007D00CC" w:rsidRPr="0015664A">
        <w:rPr>
          <w:rFonts w:ascii="Arial" w:hAnsi="Arial" w:cs="Arial"/>
          <w:sz w:val="22"/>
          <w:szCs w:val="22"/>
        </w:rPr>
        <w:t xml:space="preserve"> Em relação as água subterrânea observa-se um aumento na demanda. Destaca-se com maior demanda total de água o município de Guaíra com 1,12 m³/s (0,9m³/s - demanda superficial e 0,3m³/s - demanda subterrânea), que representa 23,9% da demanda total da UGRHI-08. Sugerimos para a</w:t>
      </w:r>
      <w:r w:rsidR="00321FF1" w:rsidRPr="0015664A">
        <w:rPr>
          <w:rFonts w:ascii="Arial" w:hAnsi="Arial" w:cs="Arial"/>
          <w:sz w:val="22"/>
          <w:szCs w:val="22"/>
        </w:rPr>
        <w:t xml:space="preserve"> melhora da </w:t>
      </w:r>
      <w:r w:rsidR="007D00CC" w:rsidRPr="0015664A">
        <w:rPr>
          <w:rFonts w:ascii="Arial" w:hAnsi="Arial" w:cs="Arial"/>
          <w:sz w:val="22"/>
          <w:szCs w:val="22"/>
        </w:rPr>
        <w:t>gestão</w:t>
      </w:r>
      <w:r w:rsidR="00321FF1" w:rsidRPr="0015664A">
        <w:rPr>
          <w:rFonts w:ascii="Arial" w:hAnsi="Arial" w:cs="Arial"/>
          <w:sz w:val="22"/>
          <w:szCs w:val="22"/>
        </w:rPr>
        <w:t xml:space="preserve"> dos recursos hídricos promoção das </w:t>
      </w:r>
      <w:r w:rsidR="007D00CC" w:rsidRPr="0015664A">
        <w:rPr>
          <w:rFonts w:ascii="Arial" w:hAnsi="Arial" w:cs="Arial"/>
          <w:sz w:val="22"/>
          <w:szCs w:val="22"/>
        </w:rPr>
        <w:t>leis de proteção das áreas de afloramento d</w:t>
      </w:r>
      <w:r w:rsidR="00321FF1" w:rsidRPr="0015664A">
        <w:rPr>
          <w:rFonts w:ascii="Arial" w:hAnsi="Arial" w:cs="Arial"/>
          <w:sz w:val="22"/>
          <w:szCs w:val="22"/>
        </w:rPr>
        <w:t>e mananciais superficiais e subterrâneos</w:t>
      </w:r>
      <w:r w:rsidR="007D00CC" w:rsidRPr="0015664A">
        <w:rPr>
          <w:rFonts w:ascii="Arial" w:hAnsi="Arial" w:cs="Arial"/>
          <w:sz w:val="22"/>
          <w:szCs w:val="22"/>
        </w:rPr>
        <w:t>, criação de áreas de proteção e recuperação de mananciais, redução de perdas e otimização do sistema de abastecimento</w:t>
      </w:r>
      <w:r w:rsidR="00321FF1" w:rsidRPr="0015664A">
        <w:rPr>
          <w:rFonts w:ascii="Arial" w:hAnsi="Arial" w:cs="Arial"/>
          <w:sz w:val="22"/>
          <w:szCs w:val="22"/>
        </w:rPr>
        <w:t>, otimização do sistema de irrigação, promoção de programas de uso racional da água, associação de usuários de água e reuso da água industrial.</w:t>
      </w:r>
    </w:p>
    <w:p w:rsidR="003F2CA6" w:rsidRPr="0015664A" w:rsidRDefault="003F2CA6" w:rsidP="00A7054A">
      <w:pPr>
        <w:jc w:val="center"/>
        <w:rPr>
          <w:rFonts w:ascii="Arial" w:hAnsi="Arial" w:cs="Arial"/>
          <w:bCs/>
          <w:sz w:val="22"/>
          <w:szCs w:val="22"/>
        </w:rPr>
      </w:pPr>
    </w:p>
    <w:p w:rsidR="002D0849" w:rsidRDefault="00A7054A" w:rsidP="00A7054A">
      <w:pPr>
        <w:jc w:val="center"/>
        <w:rPr>
          <w:rFonts w:ascii="Arial" w:hAnsi="Arial" w:cs="Arial"/>
          <w:bCs/>
          <w:sz w:val="22"/>
          <w:szCs w:val="22"/>
        </w:rPr>
      </w:pPr>
      <w:r w:rsidRPr="0015664A">
        <w:rPr>
          <w:rFonts w:ascii="Arial" w:hAnsi="Arial" w:cs="Arial"/>
          <w:bCs/>
          <w:sz w:val="22"/>
          <w:szCs w:val="22"/>
        </w:rPr>
        <w:t>Demanda de água outorga</w:t>
      </w:r>
    </w:p>
    <w:p w:rsidR="00A7054A" w:rsidRPr="0015664A" w:rsidRDefault="00A7054A" w:rsidP="00A7054A">
      <w:pPr>
        <w:jc w:val="center"/>
        <w:rPr>
          <w:rFonts w:ascii="Arial" w:hAnsi="Arial" w:cs="Arial"/>
          <w:bCs/>
          <w:sz w:val="22"/>
          <w:szCs w:val="22"/>
        </w:rPr>
      </w:pPr>
      <w:r w:rsidRPr="0015664A">
        <w:rPr>
          <w:rFonts w:ascii="Arial" w:hAnsi="Arial" w:cs="Arial"/>
          <w:bCs/>
          <w:sz w:val="22"/>
          <w:szCs w:val="22"/>
        </w:rPr>
        <w:t>x Disponibilidade (Q</w:t>
      </w:r>
      <w:r w:rsidRPr="0015664A">
        <w:rPr>
          <w:rFonts w:ascii="Arial" w:hAnsi="Arial" w:cs="Arial"/>
          <w:bCs/>
          <w:sz w:val="22"/>
          <w:szCs w:val="22"/>
          <w:vertAlign w:val="subscript"/>
        </w:rPr>
        <w:t>95%</w:t>
      </w:r>
      <w:r w:rsidRPr="0015664A">
        <w:rPr>
          <w:rFonts w:ascii="Arial" w:hAnsi="Arial" w:cs="Arial"/>
          <w:bCs/>
          <w:sz w:val="22"/>
          <w:szCs w:val="22"/>
        </w:rPr>
        <w:t>)</w:t>
      </w:r>
    </w:p>
    <w:p w:rsidR="0015664A" w:rsidRDefault="008E0DDB" w:rsidP="00A7054A">
      <w:pPr>
        <w:jc w:val="center"/>
        <w:rPr>
          <w:rFonts w:ascii="Arial" w:hAnsi="Arial" w:cs="Arial"/>
          <w:bCs/>
          <w:sz w:val="22"/>
          <w:szCs w:val="22"/>
        </w:rPr>
      </w:pPr>
      <w:r w:rsidRPr="008E0DDB">
        <w:rPr>
          <w:rFonts w:ascii="Arial" w:hAnsi="Arial" w:cs="Arial"/>
          <w:noProof/>
          <w:sz w:val="22"/>
          <w:szCs w:val="22"/>
        </w:rPr>
        <w:pict>
          <v:shape id="_x0000_s1035" type="#_x0000_t202" style="position:absolute;left:0;text-align:left;margin-left:223.05pt;margin-top:3.3pt;width:59.75pt;height:58.5pt;z-index:251624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4O+KLgIAAFQEAAAOAAAAAAAAAAAAAAAAAC4CAABkcnMv&#10;ZTJvRG9jLnhtbFBLAQItABQABgAIAAAAIQD9LzLW2wAAAAUBAAAPAAAAAAAAAAAAAAAAAIgEAABk&#10;cnMvZG93bnJldi54bWxQSwUGAAAAAAQABADzAAAAkAUAAAAA&#10;" stroked="f">
            <v:textbox style="mso-next-textbox:#_x0000_s1035;mso-fit-shape-to-text:t">
              <w:txbxContent>
                <w:p w:rsidR="00E92D98" w:rsidRDefault="00E92D98">
                  <w:r>
                    <w:rPr>
                      <w:noProof/>
                    </w:rPr>
                    <w:drawing>
                      <wp:inline distT="0" distB="0" distL="0" distR="0">
                        <wp:extent cx="514350" cy="466725"/>
                        <wp:effectExtent l="0" t="0" r="0" b="9525"/>
                        <wp:docPr id="43489321" name="Imagem 6"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21" name="Imagem 6" descr="cara_verde.png"/>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4667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92D98" w:rsidRDefault="00E92D98">
                  <w:r>
                    <w:t>10,53%</w:t>
                  </w:r>
                </w:p>
              </w:txbxContent>
            </v:textbox>
          </v:shape>
        </w:pict>
      </w: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A7054A" w:rsidRPr="0015664A" w:rsidRDefault="00A7054A" w:rsidP="00A7054A">
      <w:pPr>
        <w:jc w:val="center"/>
        <w:rPr>
          <w:rFonts w:ascii="Arial" w:hAnsi="Arial" w:cs="Arial"/>
          <w:bCs/>
          <w:sz w:val="22"/>
          <w:szCs w:val="22"/>
        </w:rPr>
      </w:pPr>
    </w:p>
    <w:p w:rsidR="00A91485" w:rsidRDefault="00394952" w:rsidP="007D00CC">
      <w:pPr>
        <w:jc w:val="both"/>
        <w:rPr>
          <w:rFonts w:ascii="Arial" w:hAnsi="Arial" w:cs="Arial"/>
          <w:b/>
          <w:bCs/>
          <w:sz w:val="22"/>
          <w:szCs w:val="22"/>
        </w:rPr>
      </w:pPr>
      <w:r w:rsidRPr="0015664A">
        <w:rPr>
          <w:rFonts w:ascii="Arial" w:hAnsi="Arial" w:cs="Arial"/>
          <w:b/>
          <w:bCs/>
          <w:sz w:val="22"/>
          <w:szCs w:val="22"/>
        </w:rPr>
        <w:t xml:space="preserve">- </w:t>
      </w:r>
      <w:r w:rsidR="00A91485" w:rsidRPr="0015664A">
        <w:rPr>
          <w:rFonts w:ascii="Arial" w:hAnsi="Arial" w:cs="Arial"/>
          <w:b/>
          <w:bCs/>
          <w:sz w:val="22"/>
          <w:szCs w:val="22"/>
        </w:rPr>
        <w:t>Resíduos Sólidos Domiciliares</w:t>
      </w:r>
    </w:p>
    <w:p w:rsidR="002D0849" w:rsidRPr="0015664A" w:rsidRDefault="002D0849" w:rsidP="007D00CC">
      <w:pPr>
        <w:jc w:val="both"/>
        <w:rPr>
          <w:rFonts w:ascii="Arial" w:hAnsi="Arial" w:cs="Arial"/>
          <w:b/>
          <w:bCs/>
          <w:sz w:val="22"/>
          <w:szCs w:val="22"/>
        </w:rPr>
      </w:pPr>
    </w:p>
    <w:p w:rsidR="00321FF1" w:rsidRPr="0015664A" w:rsidRDefault="00321FF1" w:rsidP="0015664A">
      <w:pPr>
        <w:spacing w:line="360" w:lineRule="auto"/>
        <w:jc w:val="both"/>
        <w:rPr>
          <w:rFonts w:ascii="Arial" w:hAnsi="Arial" w:cs="Arial"/>
          <w:sz w:val="22"/>
          <w:szCs w:val="22"/>
        </w:rPr>
      </w:pPr>
      <w:r w:rsidRPr="0015664A">
        <w:rPr>
          <w:rFonts w:ascii="Arial" w:hAnsi="Arial" w:cs="Arial"/>
          <w:sz w:val="22"/>
          <w:szCs w:val="22"/>
        </w:rPr>
        <w:t xml:space="preserve">A geração e resíduos sólidos domiciliares na UGRHI 08 vem diminuindo progressivamente, contrapondo-se ao crescimento populacional. Entretanto, as condições dos aterros dos municípios que compõem a bacia, ainda </w:t>
      </w:r>
      <w:r w:rsidR="00394952" w:rsidRPr="0015664A">
        <w:rPr>
          <w:rFonts w:ascii="Arial" w:hAnsi="Arial" w:cs="Arial"/>
          <w:sz w:val="22"/>
          <w:szCs w:val="22"/>
        </w:rPr>
        <w:t>são classificadas</w:t>
      </w:r>
      <w:r w:rsidRPr="0015664A">
        <w:rPr>
          <w:rFonts w:ascii="Arial" w:hAnsi="Arial" w:cs="Arial"/>
          <w:sz w:val="22"/>
          <w:szCs w:val="22"/>
        </w:rPr>
        <w:t xml:space="preserve"> como “REGULAR”, sendo treze aterros considerados </w:t>
      </w:r>
      <w:r w:rsidR="00394952" w:rsidRPr="0015664A">
        <w:rPr>
          <w:rFonts w:ascii="Arial" w:hAnsi="Arial" w:cs="Arial"/>
          <w:sz w:val="22"/>
          <w:szCs w:val="22"/>
        </w:rPr>
        <w:t>adequados e nove controlados. Verifica-se que no ano de 2010 houve redução na porcentagem de resíduos sólidos domiciliares disposto</w:t>
      </w:r>
      <w:r w:rsidR="0015664A">
        <w:rPr>
          <w:rFonts w:ascii="Arial" w:hAnsi="Arial" w:cs="Arial"/>
          <w:sz w:val="22"/>
          <w:szCs w:val="22"/>
        </w:rPr>
        <w:t>s</w:t>
      </w:r>
      <w:r w:rsidR="00394952" w:rsidRPr="0015664A">
        <w:rPr>
          <w:rFonts w:ascii="Arial" w:hAnsi="Arial" w:cs="Arial"/>
          <w:sz w:val="22"/>
          <w:szCs w:val="22"/>
        </w:rPr>
        <w:t xml:space="preserve"> em aterros adequado, decorrente do</w:t>
      </w:r>
      <w:r w:rsidRPr="0015664A">
        <w:rPr>
          <w:rFonts w:ascii="Arial" w:hAnsi="Arial" w:cs="Arial"/>
          <w:sz w:val="22"/>
          <w:szCs w:val="22"/>
        </w:rPr>
        <w:t xml:space="preserve">s </w:t>
      </w:r>
      <w:r w:rsidR="00FF2543" w:rsidRPr="0015664A">
        <w:rPr>
          <w:rFonts w:ascii="Arial" w:hAnsi="Arial" w:cs="Arial"/>
          <w:sz w:val="22"/>
          <w:szCs w:val="22"/>
        </w:rPr>
        <w:t>municípios</w:t>
      </w:r>
      <w:r w:rsidRPr="0015664A">
        <w:rPr>
          <w:rFonts w:ascii="Arial" w:hAnsi="Arial" w:cs="Arial"/>
          <w:sz w:val="22"/>
          <w:szCs w:val="22"/>
        </w:rPr>
        <w:t xml:space="preserve"> de Buritizal, Guará, Ituverava, São Joaquim da Barra</w:t>
      </w:r>
      <w:r w:rsidR="00394952" w:rsidRPr="0015664A">
        <w:rPr>
          <w:rFonts w:ascii="Arial" w:hAnsi="Arial" w:cs="Arial"/>
          <w:sz w:val="22"/>
          <w:szCs w:val="22"/>
        </w:rPr>
        <w:t xml:space="preserve">, que </w:t>
      </w:r>
      <w:r w:rsidRPr="0015664A">
        <w:rPr>
          <w:rFonts w:ascii="Arial" w:hAnsi="Arial" w:cs="Arial"/>
          <w:sz w:val="22"/>
          <w:szCs w:val="22"/>
        </w:rPr>
        <w:t>dispõem seus resíduos no mesmo aterro operacionalizado pela Ambitec (aterro particular)</w:t>
      </w:r>
      <w:r w:rsidR="00394952" w:rsidRPr="0015664A">
        <w:rPr>
          <w:rFonts w:ascii="Arial" w:hAnsi="Arial" w:cs="Arial"/>
          <w:sz w:val="22"/>
          <w:szCs w:val="22"/>
        </w:rPr>
        <w:t xml:space="preserve">, que </w:t>
      </w:r>
      <w:r w:rsidRPr="0015664A">
        <w:rPr>
          <w:rFonts w:ascii="Arial" w:hAnsi="Arial" w:cs="Arial"/>
          <w:sz w:val="22"/>
          <w:szCs w:val="22"/>
        </w:rPr>
        <w:t>foram reclassificados de adequados em 2009 para controlados em 2010,</w:t>
      </w:r>
      <w:r w:rsidR="00394952" w:rsidRPr="0015664A">
        <w:rPr>
          <w:rFonts w:ascii="Arial" w:hAnsi="Arial" w:cs="Arial"/>
          <w:sz w:val="22"/>
          <w:szCs w:val="22"/>
        </w:rPr>
        <w:t xml:space="preserve"> resultado </w:t>
      </w:r>
      <w:r w:rsidRPr="0015664A">
        <w:rPr>
          <w:rFonts w:ascii="Arial" w:hAnsi="Arial" w:cs="Arial"/>
          <w:sz w:val="22"/>
          <w:szCs w:val="22"/>
        </w:rPr>
        <w:t>que acreditamos ser em virtude do dinamismo operacional da instalação e das variações climáticas onde se encontra o aterro</w:t>
      </w:r>
      <w:r w:rsidR="00394952" w:rsidRPr="0015664A">
        <w:rPr>
          <w:rFonts w:ascii="Arial" w:hAnsi="Arial" w:cs="Arial"/>
          <w:sz w:val="22"/>
          <w:szCs w:val="22"/>
        </w:rPr>
        <w:t xml:space="preserve">. Sugerimos para a gestão a continuidade de políticas públicas de adequação da disposição dos resíduos domiciliares e de incentivos aos municípios, programas de Educação Ambiental, coleta seletiva e fiscalização. </w:t>
      </w:r>
    </w:p>
    <w:p w:rsidR="007D00CC" w:rsidRPr="0015664A" w:rsidRDefault="007D00CC" w:rsidP="0015664A">
      <w:pPr>
        <w:spacing w:line="360" w:lineRule="auto"/>
        <w:jc w:val="both"/>
        <w:rPr>
          <w:rFonts w:ascii="Arial" w:hAnsi="Arial" w:cs="Arial"/>
          <w:sz w:val="22"/>
          <w:szCs w:val="22"/>
        </w:rPr>
      </w:pPr>
    </w:p>
    <w:p w:rsidR="002D0849" w:rsidRDefault="00A91485" w:rsidP="00A7054A">
      <w:pPr>
        <w:jc w:val="center"/>
        <w:rPr>
          <w:rFonts w:ascii="Arial" w:hAnsi="Arial" w:cs="Arial"/>
          <w:bCs/>
          <w:sz w:val="22"/>
          <w:szCs w:val="22"/>
        </w:rPr>
      </w:pPr>
      <w:r w:rsidRPr="0015664A">
        <w:rPr>
          <w:rFonts w:ascii="Arial" w:hAnsi="Arial" w:cs="Arial"/>
          <w:bCs/>
          <w:sz w:val="22"/>
          <w:szCs w:val="22"/>
        </w:rPr>
        <w:t xml:space="preserve">Proporção de resíduo sólido domiciliar </w:t>
      </w:r>
    </w:p>
    <w:p w:rsidR="00A91485" w:rsidRPr="0015664A" w:rsidRDefault="00A91485" w:rsidP="00A7054A">
      <w:pPr>
        <w:jc w:val="center"/>
        <w:rPr>
          <w:rFonts w:ascii="Arial" w:hAnsi="Arial" w:cs="Arial"/>
          <w:bCs/>
          <w:sz w:val="22"/>
          <w:szCs w:val="22"/>
        </w:rPr>
      </w:pPr>
      <w:r w:rsidRPr="0015664A">
        <w:rPr>
          <w:rFonts w:ascii="Arial" w:hAnsi="Arial" w:cs="Arial"/>
          <w:bCs/>
          <w:sz w:val="22"/>
          <w:szCs w:val="22"/>
        </w:rPr>
        <w:t>disposto em aterro enquadrado como Adequado</w:t>
      </w:r>
    </w:p>
    <w:p w:rsidR="00A91485" w:rsidRPr="0015664A" w:rsidRDefault="008E0DDB" w:rsidP="00A7054A">
      <w:pPr>
        <w:jc w:val="center"/>
        <w:rPr>
          <w:rFonts w:ascii="Arial" w:hAnsi="Arial" w:cs="Arial"/>
          <w:bCs/>
          <w:sz w:val="22"/>
          <w:szCs w:val="22"/>
        </w:rPr>
      </w:pPr>
      <w:r w:rsidRPr="008E0DDB">
        <w:rPr>
          <w:rFonts w:ascii="Arial" w:hAnsi="Arial" w:cs="Arial"/>
          <w:noProof/>
          <w:sz w:val="22"/>
          <w:szCs w:val="22"/>
        </w:rPr>
        <w:pict>
          <v:shape id="Caixa de Texto 2" o:spid="_x0000_s1036" type="#_x0000_t202" style="position:absolute;left:0;text-align:left;margin-left:229.65pt;margin-top:2.4pt;width:73.55pt;height:81.75pt;z-index:25161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T6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VvGAJHkLdaPxKzDccxpLUlo0f3grKcR&#10;r7j//gBOcqY/GOrOx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GSsT6LgIAAFQEAAAOAAAAAAAAAAAAAAAAAC4CAABkcnMv&#10;ZTJvRG9jLnhtbFBLAQItABQABgAIAAAAIQD9LzLW2wAAAAUBAAAPAAAAAAAAAAAAAAAAAIgEAABk&#10;cnMvZG93bnJldi54bWxQSwUGAAAAAAQABADzAAAAkAUAAAAA&#10;" stroked="f">
            <v:textbox style="mso-next-textbox:#Caixa de Texto 2">
              <w:txbxContent>
                <w:p w:rsidR="00E92D98" w:rsidRDefault="00E92D98"/>
                <w:p w:rsidR="00E92D98" w:rsidRDefault="00E92D98">
                  <w:r>
                    <w:rPr>
                      <w:noProof/>
                    </w:rPr>
                    <w:drawing>
                      <wp:inline distT="0" distB="0" distL="0" distR="0">
                        <wp:extent cx="466725" cy="466725"/>
                        <wp:effectExtent l="0" t="0" r="9525" b="9525"/>
                        <wp:docPr id="43489337" name="Picture 5107"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37" name="Picture 5107" descr="cara_amarela.png"/>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92D98" w:rsidRDefault="00E92D98">
                  <w:r>
                    <w:t>73,2%</w:t>
                  </w:r>
                </w:p>
              </w:txbxContent>
            </v:textbox>
          </v:shape>
        </w:pict>
      </w:r>
    </w:p>
    <w:p w:rsidR="00A91485" w:rsidRPr="0015664A" w:rsidRDefault="00A91485" w:rsidP="00A7054A">
      <w:pPr>
        <w:jc w:val="center"/>
        <w:rPr>
          <w:rFonts w:ascii="Arial" w:hAnsi="Arial" w:cs="Arial"/>
          <w:bCs/>
          <w:sz w:val="22"/>
          <w:szCs w:val="22"/>
        </w:rPr>
      </w:pPr>
      <w:r w:rsidRPr="0015664A">
        <w:rPr>
          <w:rFonts w:ascii="Arial" w:hAnsi="Arial" w:cs="Arial"/>
          <w:bCs/>
          <w:sz w:val="22"/>
          <w:szCs w:val="22"/>
        </w:rPr>
        <w:t xml:space="preserve"> </w:t>
      </w: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Default="00A91485" w:rsidP="00A7054A">
      <w:pPr>
        <w:jc w:val="center"/>
        <w:rPr>
          <w:rFonts w:ascii="Arial" w:hAnsi="Arial" w:cs="Arial"/>
          <w:bCs/>
          <w:sz w:val="22"/>
          <w:szCs w:val="22"/>
        </w:rPr>
      </w:pPr>
    </w:p>
    <w:p w:rsidR="0015664A" w:rsidRPr="0015664A" w:rsidRDefault="0015664A" w:rsidP="00A7054A">
      <w:pPr>
        <w:jc w:val="center"/>
        <w:rPr>
          <w:rFonts w:ascii="Arial" w:hAnsi="Arial" w:cs="Arial"/>
          <w:bCs/>
          <w:sz w:val="22"/>
          <w:szCs w:val="22"/>
        </w:rPr>
      </w:pPr>
    </w:p>
    <w:p w:rsidR="00A91485" w:rsidRDefault="00394952" w:rsidP="00394952">
      <w:pPr>
        <w:jc w:val="both"/>
        <w:rPr>
          <w:rFonts w:ascii="Arial" w:hAnsi="Arial" w:cs="Arial"/>
          <w:b/>
          <w:bCs/>
          <w:sz w:val="22"/>
          <w:szCs w:val="22"/>
        </w:rPr>
      </w:pPr>
      <w:r w:rsidRPr="0015664A">
        <w:rPr>
          <w:rFonts w:ascii="Arial" w:hAnsi="Arial" w:cs="Arial"/>
          <w:b/>
          <w:bCs/>
          <w:sz w:val="22"/>
          <w:szCs w:val="22"/>
        </w:rPr>
        <w:t xml:space="preserve">- </w:t>
      </w:r>
      <w:r w:rsidR="00A91485" w:rsidRPr="0015664A">
        <w:rPr>
          <w:rFonts w:ascii="Arial" w:hAnsi="Arial" w:cs="Arial"/>
          <w:b/>
          <w:bCs/>
          <w:sz w:val="22"/>
          <w:szCs w:val="22"/>
        </w:rPr>
        <w:t>Efluentes Domésticos</w:t>
      </w:r>
    </w:p>
    <w:p w:rsidR="002D0849" w:rsidRPr="0015664A" w:rsidRDefault="002D0849" w:rsidP="00394952">
      <w:pPr>
        <w:jc w:val="both"/>
        <w:rPr>
          <w:rFonts w:ascii="Arial" w:hAnsi="Arial" w:cs="Arial"/>
          <w:b/>
          <w:bCs/>
          <w:sz w:val="22"/>
          <w:szCs w:val="22"/>
        </w:rPr>
      </w:pPr>
    </w:p>
    <w:p w:rsidR="00394952" w:rsidRPr="0015664A" w:rsidRDefault="00AA31CC" w:rsidP="0015664A">
      <w:pPr>
        <w:spacing w:line="360" w:lineRule="auto"/>
        <w:jc w:val="both"/>
        <w:rPr>
          <w:rFonts w:ascii="Arial" w:hAnsi="Arial" w:cs="Arial"/>
          <w:bCs/>
          <w:sz w:val="22"/>
          <w:szCs w:val="22"/>
        </w:rPr>
      </w:pPr>
      <w:r w:rsidRPr="0015664A">
        <w:rPr>
          <w:rFonts w:ascii="Arial" w:hAnsi="Arial" w:cs="Arial"/>
          <w:bCs/>
          <w:sz w:val="22"/>
          <w:szCs w:val="22"/>
        </w:rPr>
        <w:t>A Carga poluidora doméstica remanescente vem reduzindo progressivamente na UGRHI 08, mesmo com o crescimento populacional. Este índice deve-se ao fato do CBH-SMG, desde o início da distribuição dos recursos do FEHIDRO, ter priorizado estudos, projetos, obras e serviços relacionados ao tratamento de efluentes domésticos.</w:t>
      </w:r>
      <w:r w:rsidR="0051644D" w:rsidRPr="0015664A">
        <w:rPr>
          <w:rFonts w:ascii="Arial" w:hAnsi="Arial" w:cs="Arial"/>
          <w:bCs/>
          <w:sz w:val="22"/>
          <w:szCs w:val="22"/>
        </w:rPr>
        <w:t xml:space="preserve"> Ressalta-se que os índices de efluente doméstico coletado e tratado em relação ao total gerado estão bem acima da média do Estado de São Paulo. </w:t>
      </w:r>
      <w:r w:rsidRPr="0015664A">
        <w:rPr>
          <w:rFonts w:ascii="Arial" w:hAnsi="Arial" w:cs="Arial"/>
          <w:bCs/>
          <w:sz w:val="22"/>
          <w:szCs w:val="22"/>
        </w:rPr>
        <w:t>A tendência é de melhorar com o funcionamento das ETE de Batatais, Patrocínio Paulista e Ituverava. A situação é crítica no município de São Joaquim da Barra sem tratamento e previsão para implantação da ETE. Sugere-se para a gestão a avaliação dos sistemas implantados e investimentos para implantação da ETE de São Joaquim da Barra.</w:t>
      </w:r>
    </w:p>
    <w:p w:rsidR="00AA31CC" w:rsidRPr="0015664A" w:rsidRDefault="00AA31CC" w:rsidP="00394952">
      <w:pPr>
        <w:jc w:val="both"/>
        <w:rPr>
          <w:rFonts w:ascii="Arial" w:hAnsi="Arial" w:cs="Arial"/>
          <w:bCs/>
          <w:sz w:val="22"/>
          <w:szCs w:val="22"/>
        </w:rPr>
      </w:pPr>
    </w:p>
    <w:p w:rsidR="002D0849" w:rsidRDefault="00A91485" w:rsidP="00A7054A">
      <w:pPr>
        <w:jc w:val="center"/>
        <w:rPr>
          <w:rFonts w:ascii="Arial" w:hAnsi="Arial" w:cs="Arial"/>
          <w:bCs/>
          <w:sz w:val="22"/>
          <w:szCs w:val="22"/>
        </w:rPr>
      </w:pPr>
      <w:r w:rsidRPr="0015664A">
        <w:rPr>
          <w:rFonts w:ascii="Arial" w:hAnsi="Arial" w:cs="Arial"/>
          <w:bCs/>
          <w:sz w:val="22"/>
          <w:szCs w:val="22"/>
        </w:rPr>
        <w:t>Proporção de redução de carga</w:t>
      </w:r>
    </w:p>
    <w:p w:rsidR="00A91485" w:rsidRPr="0015664A" w:rsidRDefault="00A91485" w:rsidP="00A7054A">
      <w:pPr>
        <w:jc w:val="center"/>
        <w:rPr>
          <w:rFonts w:ascii="Arial" w:hAnsi="Arial" w:cs="Arial"/>
          <w:bCs/>
          <w:sz w:val="22"/>
          <w:szCs w:val="22"/>
        </w:rPr>
      </w:pPr>
      <w:r w:rsidRPr="0015664A">
        <w:rPr>
          <w:rFonts w:ascii="Arial" w:hAnsi="Arial" w:cs="Arial"/>
          <w:bCs/>
          <w:sz w:val="22"/>
          <w:szCs w:val="22"/>
        </w:rPr>
        <w:t xml:space="preserve"> orgânica poluidora doméstica</w:t>
      </w:r>
    </w:p>
    <w:p w:rsidR="00A91485" w:rsidRPr="0015664A" w:rsidRDefault="008E0DDB" w:rsidP="00A7054A">
      <w:pPr>
        <w:jc w:val="center"/>
        <w:rPr>
          <w:rFonts w:ascii="Arial" w:hAnsi="Arial" w:cs="Arial"/>
          <w:bCs/>
          <w:sz w:val="22"/>
          <w:szCs w:val="22"/>
        </w:rPr>
      </w:pPr>
      <w:r w:rsidRPr="008E0DDB">
        <w:rPr>
          <w:rFonts w:ascii="Arial" w:hAnsi="Arial" w:cs="Arial"/>
          <w:noProof/>
          <w:sz w:val="22"/>
          <w:szCs w:val="22"/>
        </w:rPr>
        <w:pict>
          <v:shape id="_x0000_s1037" type="#_x0000_t202" style="position:absolute;left:0;text-align:left;margin-left:232.35pt;margin-top:8.15pt;width:76.9pt;height:58.5pt;z-index:251625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U/aoMLgIAAFQEAAAOAAAAAAAAAAAAAAAAAC4CAABkcnMv&#10;ZTJvRG9jLnhtbFBLAQItABQABgAIAAAAIQD9LzLW2wAAAAUBAAAPAAAAAAAAAAAAAAAAAIgEAABk&#10;cnMvZG93bnJldi54bWxQSwUGAAAAAAQABADzAAAAkAUAAAAA&#10;" stroked="f">
            <v:textbox style="mso-next-textbox:#_x0000_s1037;mso-fit-shape-to-text:t">
              <w:txbxContent>
                <w:p w:rsidR="00E92D98" w:rsidRDefault="00E92D98">
                  <w:r>
                    <w:rPr>
                      <w:noProof/>
                    </w:rPr>
                    <w:drawing>
                      <wp:inline distT="0" distB="0" distL="0" distR="0">
                        <wp:extent cx="466725" cy="466725"/>
                        <wp:effectExtent l="0" t="0" r="9525" b="9525"/>
                        <wp:docPr id="43489304" name="Imagem 4"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04" name="Imagem 4" descr="cara_amarela.png"/>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92D98" w:rsidRDefault="00E92D98">
                  <w:r>
                    <w:t>73,80 %</w:t>
                  </w:r>
                </w:p>
              </w:txbxContent>
            </v:textbox>
          </v:shape>
        </w:pict>
      </w: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2D0849" w:rsidRDefault="00A91485" w:rsidP="00A7054A">
      <w:pPr>
        <w:jc w:val="center"/>
        <w:rPr>
          <w:rFonts w:ascii="Arial" w:hAnsi="Arial" w:cs="Arial"/>
          <w:bCs/>
          <w:sz w:val="22"/>
          <w:szCs w:val="22"/>
        </w:rPr>
      </w:pPr>
      <w:r w:rsidRPr="0015664A">
        <w:rPr>
          <w:rFonts w:ascii="Arial" w:hAnsi="Arial" w:cs="Arial"/>
          <w:bCs/>
          <w:sz w:val="22"/>
          <w:szCs w:val="22"/>
        </w:rPr>
        <w:t xml:space="preserve">Proporção de </w:t>
      </w:r>
      <w:r w:rsidR="00AA31CC" w:rsidRPr="0015664A">
        <w:rPr>
          <w:rFonts w:ascii="Arial" w:hAnsi="Arial" w:cs="Arial"/>
          <w:bCs/>
          <w:sz w:val="22"/>
          <w:szCs w:val="22"/>
        </w:rPr>
        <w:t>e</w:t>
      </w:r>
      <w:r w:rsidRPr="0015664A">
        <w:rPr>
          <w:rFonts w:ascii="Arial" w:hAnsi="Arial" w:cs="Arial"/>
          <w:bCs/>
          <w:sz w:val="22"/>
          <w:szCs w:val="22"/>
        </w:rPr>
        <w:t>fluentes domésticos</w:t>
      </w:r>
    </w:p>
    <w:p w:rsidR="00A91485" w:rsidRPr="0015664A" w:rsidRDefault="00A91485" w:rsidP="00A7054A">
      <w:pPr>
        <w:jc w:val="center"/>
        <w:rPr>
          <w:rFonts w:ascii="Arial" w:hAnsi="Arial" w:cs="Arial"/>
          <w:bCs/>
          <w:sz w:val="22"/>
          <w:szCs w:val="22"/>
        </w:rPr>
      </w:pPr>
      <w:r w:rsidRPr="0015664A">
        <w:rPr>
          <w:rFonts w:ascii="Arial" w:hAnsi="Arial" w:cs="Arial"/>
          <w:bCs/>
          <w:sz w:val="22"/>
          <w:szCs w:val="22"/>
        </w:rPr>
        <w:t xml:space="preserve"> em relação ao total gerado</w:t>
      </w:r>
    </w:p>
    <w:p w:rsidR="0051644D" w:rsidRPr="0015664A" w:rsidRDefault="008E0DDB" w:rsidP="00A7054A">
      <w:pPr>
        <w:jc w:val="center"/>
        <w:rPr>
          <w:rFonts w:ascii="Arial" w:hAnsi="Arial" w:cs="Arial"/>
          <w:bCs/>
          <w:sz w:val="22"/>
          <w:szCs w:val="22"/>
        </w:rPr>
      </w:pPr>
      <w:r w:rsidRPr="008E0DDB">
        <w:rPr>
          <w:rFonts w:ascii="Arial" w:hAnsi="Arial" w:cs="Arial"/>
          <w:noProof/>
          <w:sz w:val="22"/>
          <w:szCs w:val="22"/>
        </w:rPr>
        <w:pict>
          <v:shape id="_x0000_s1038" type="#_x0000_t202" style="position:absolute;left:0;text-align:left;margin-left:193.85pt;margin-top:5.2pt;width:63.2pt;height:70.8pt;z-index:251627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Y5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bRxV3mL9SNI6HPuc5pI2LbofnPXU&#10;4xX33x/ASc70B0PluZjO53EokjFfnBdkuFPP9tQDRhBUxQNn43Yd0iAl4ew1lXGjksAvTA6cqXeT&#10;7oc5i8Nxaqeol7/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A5PY5LgIAAFUEAAAOAAAAAAAAAAAAAAAAAC4CAABkcnMv&#10;ZTJvRG9jLnhtbFBLAQItABQABgAIAAAAIQD9LzLW2wAAAAUBAAAPAAAAAAAAAAAAAAAAAIgEAABk&#10;cnMvZG93bnJldi54bWxQSwUGAAAAAAQABADzAAAAkAUAAAAA&#10;" stroked="f">
            <v:textbox style="mso-next-textbox:#_x0000_s1038;mso-fit-shape-to-text:t">
              <w:txbxContent>
                <w:p w:rsidR="00E92D98" w:rsidRDefault="00E92D98">
                  <w:r>
                    <w:rPr>
                      <w:noProof/>
                    </w:rPr>
                    <w:drawing>
                      <wp:inline distT="0" distB="0" distL="0" distR="0">
                        <wp:extent cx="504825" cy="457200"/>
                        <wp:effectExtent l="0" t="0" r="0" b="0"/>
                        <wp:docPr id="43489340" name="Imagem 6" descr="cara_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40" name="Imagem 6" descr="cara_verde.png"/>
                                <pic:cNvPicPr>
                                  <a:picLocks noChangeAspect="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4572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92D98" w:rsidRDefault="00E92D98">
                  <w:r>
                    <w:t>99,10%</w:t>
                  </w:r>
                </w:p>
                <w:p w:rsidR="00E92D98" w:rsidRDefault="00E92D98">
                  <w:r>
                    <w:t>Coletado</w:t>
                  </w:r>
                </w:p>
              </w:txbxContent>
            </v:textbox>
          </v:shape>
        </w:pict>
      </w:r>
      <w:r w:rsidRPr="008E0DDB">
        <w:rPr>
          <w:rFonts w:ascii="Arial" w:hAnsi="Arial" w:cs="Arial"/>
          <w:noProof/>
          <w:sz w:val="22"/>
          <w:szCs w:val="22"/>
        </w:rPr>
        <w:pict>
          <v:shape id="_x0000_s1039" type="#_x0000_t202" style="position:absolute;left:0;text-align:left;margin-left:286.35pt;margin-top:3.7pt;width:52.7pt;height:72.3pt;z-index:251628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jP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MkeVt1g/krQOxz6nuaRNi+4HZz31&#10;eMX99wdwkjP9wVB5LqbzeRyKZMwX5wUZ7tSzPfWAEQRV8cDZuF2HNEhJOHtNZdyoJPALkwNn6t2k&#10;+2HO4nCc2inq5W+wegI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SU5jPLgIAAFUEAAAOAAAAAAAAAAAAAAAAAC4CAABkcnMv&#10;ZTJvRG9jLnhtbFBLAQItABQABgAIAAAAIQD9LzLW2wAAAAUBAAAPAAAAAAAAAAAAAAAAAIgEAABk&#10;cnMvZG93bnJldi54bWxQSwUGAAAAAAQABADzAAAAkAUAAAAA&#10;" stroked="f">
            <v:textbox style="mso-next-textbox:#_x0000_s1039;mso-fit-shape-to-text:t">
              <w:txbxContent>
                <w:p w:rsidR="00E92D98" w:rsidRDefault="00E92D98">
                  <w:r>
                    <w:rPr>
                      <w:noProof/>
                    </w:rPr>
                    <w:drawing>
                      <wp:inline distT="0" distB="0" distL="0" distR="0">
                        <wp:extent cx="466725" cy="466725"/>
                        <wp:effectExtent l="0" t="0" r="9525" b="9525"/>
                        <wp:docPr id="4" name="Imagem 4" descr="cara_ama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364" name="Imagem 4" descr="cara_amarela.png"/>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E92D98" w:rsidRDefault="00E92D98">
                  <w:r>
                    <w:t>80,60%</w:t>
                  </w:r>
                </w:p>
                <w:p w:rsidR="00E92D98" w:rsidRDefault="00E92D98">
                  <w:r>
                    <w:t>Tratado</w:t>
                  </w:r>
                </w:p>
              </w:txbxContent>
            </v:textbox>
          </v:shape>
        </w:pict>
      </w:r>
    </w:p>
    <w:p w:rsidR="0051644D" w:rsidRDefault="0051644D"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Default="0015664A" w:rsidP="00A7054A">
      <w:pPr>
        <w:jc w:val="center"/>
        <w:rPr>
          <w:rFonts w:ascii="Arial" w:hAnsi="Arial" w:cs="Arial"/>
          <w:bCs/>
          <w:sz w:val="22"/>
          <w:szCs w:val="22"/>
        </w:rPr>
      </w:pPr>
    </w:p>
    <w:p w:rsidR="0015664A" w:rsidRPr="0015664A" w:rsidRDefault="0015664A" w:rsidP="00A7054A">
      <w:pPr>
        <w:jc w:val="center"/>
        <w:rPr>
          <w:rFonts w:ascii="Arial" w:hAnsi="Arial" w:cs="Arial"/>
          <w:bCs/>
          <w:sz w:val="22"/>
          <w:szCs w:val="22"/>
        </w:rPr>
      </w:pPr>
    </w:p>
    <w:p w:rsidR="0051644D" w:rsidRPr="0015664A" w:rsidRDefault="0051644D" w:rsidP="00A7054A">
      <w:pPr>
        <w:jc w:val="center"/>
        <w:rPr>
          <w:rFonts w:ascii="Arial" w:hAnsi="Arial" w:cs="Arial"/>
          <w:bCs/>
          <w:sz w:val="22"/>
          <w:szCs w:val="22"/>
        </w:rPr>
      </w:pPr>
    </w:p>
    <w:p w:rsidR="00A91485" w:rsidRDefault="0051644D" w:rsidP="0051644D">
      <w:pPr>
        <w:jc w:val="both"/>
        <w:rPr>
          <w:rFonts w:ascii="Arial" w:hAnsi="Arial" w:cs="Arial"/>
          <w:b/>
          <w:bCs/>
          <w:sz w:val="22"/>
          <w:szCs w:val="22"/>
        </w:rPr>
      </w:pPr>
      <w:r w:rsidRPr="0015664A">
        <w:rPr>
          <w:rFonts w:ascii="Arial" w:hAnsi="Arial" w:cs="Arial"/>
          <w:b/>
          <w:bCs/>
          <w:sz w:val="22"/>
          <w:szCs w:val="22"/>
        </w:rPr>
        <w:t xml:space="preserve">- </w:t>
      </w:r>
      <w:r w:rsidR="00A91485" w:rsidRPr="0015664A">
        <w:rPr>
          <w:rFonts w:ascii="Arial" w:hAnsi="Arial" w:cs="Arial"/>
          <w:b/>
          <w:bCs/>
          <w:sz w:val="22"/>
          <w:szCs w:val="22"/>
        </w:rPr>
        <w:t xml:space="preserve">Qualidade das Águas </w:t>
      </w:r>
    </w:p>
    <w:p w:rsidR="002D0849" w:rsidRPr="0015664A" w:rsidRDefault="002D0849" w:rsidP="0051644D">
      <w:pPr>
        <w:jc w:val="both"/>
        <w:rPr>
          <w:rFonts w:ascii="Arial" w:hAnsi="Arial" w:cs="Arial"/>
          <w:b/>
          <w:bCs/>
          <w:sz w:val="22"/>
          <w:szCs w:val="22"/>
        </w:rPr>
      </w:pPr>
    </w:p>
    <w:p w:rsidR="00925E35" w:rsidRPr="0015664A" w:rsidRDefault="00925E35" w:rsidP="0015664A">
      <w:pPr>
        <w:spacing w:line="360" w:lineRule="auto"/>
        <w:jc w:val="both"/>
        <w:rPr>
          <w:rFonts w:ascii="Arial" w:hAnsi="Arial" w:cs="Arial"/>
          <w:bCs/>
          <w:sz w:val="22"/>
          <w:szCs w:val="22"/>
        </w:rPr>
      </w:pPr>
      <w:r w:rsidRPr="0015664A">
        <w:rPr>
          <w:rFonts w:ascii="Arial" w:hAnsi="Arial" w:cs="Arial"/>
          <w:bCs/>
          <w:sz w:val="22"/>
          <w:szCs w:val="22"/>
        </w:rPr>
        <w:t>Analisando a evolução dos parâmetros de qualidade da água na Bacia dos rios Sapucaí Mirim/Grande, verifica-se que a UGRHI 08 apresenta uma das melhores médias entre as UGRHI’</w:t>
      </w:r>
      <w:r w:rsidR="004441E9" w:rsidRPr="0015664A">
        <w:rPr>
          <w:rFonts w:ascii="Arial" w:hAnsi="Arial" w:cs="Arial"/>
          <w:bCs/>
          <w:sz w:val="22"/>
          <w:szCs w:val="22"/>
        </w:rPr>
        <w:t>s do Estado</w:t>
      </w:r>
      <w:r w:rsidR="0051644D" w:rsidRPr="0015664A">
        <w:rPr>
          <w:rFonts w:ascii="Arial" w:hAnsi="Arial" w:cs="Arial"/>
          <w:bCs/>
          <w:sz w:val="22"/>
          <w:szCs w:val="22"/>
        </w:rPr>
        <w:t>. E</w:t>
      </w:r>
      <w:r w:rsidR="004441E9" w:rsidRPr="0015664A">
        <w:rPr>
          <w:rFonts w:ascii="Arial" w:hAnsi="Arial" w:cs="Arial"/>
          <w:bCs/>
          <w:sz w:val="22"/>
          <w:szCs w:val="22"/>
        </w:rPr>
        <w:t>videnciando melhora no IVA (índice de Vida Aquática) e no IET (</w:t>
      </w:r>
      <w:r w:rsidR="0051644D" w:rsidRPr="0015664A">
        <w:rPr>
          <w:rFonts w:ascii="Arial" w:hAnsi="Arial" w:cs="Arial"/>
          <w:bCs/>
          <w:sz w:val="22"/>
          <w:szCs w:val="22"/>
        </w:rPr>
        <w:t>Índice</w:t>
      </w:r>
      <w:r w:rsidR="004441E9" w:rsidRPr="0015664A">
        <w:rPr>
          <w:rFonts w:ascii="Arial" w:hAnsi="Arial" w:cs="Arial"/>
          <w:bCs/>
          <w:sz w:val="22"/>
          <w:szCs w:val="22"/>
        </w:rPr>
        <w:t xml:space="preserve"> de Estado Trófico).</w:t>
      </w:r>
      <w:r w:rsidRPr="0015664A">
        <w:rPr>
          <w:rFonts w:ascii="Arial" w:hAnsi="Arial" w:cs="Arial"/>
          <w:bCs/>
          <w:sz w:val="22"/>
          <w:szCs w:val="22"/>
        </w:rPr>
        <w:t xml:space="preserve"> </w:t>
      </w:r>
    </w:p>
    <w:p w:rsidR="004441E9" w:rsidRPr="0015664A" w:rsidRDefault="008E0DDB" w:rsidP="0015664A">
      <w:pPr>
        <w:spacing w:line="360" w:lineRule="auto"/>
        <w:jc w:val="both"/>
        <w:rPr>
          <w:rFonts w:ascii="Arial" w:hAnsi="Arial" w:cs="Arial"/>
          <w:bCs/>
          <w:sz w:val="22"/>
          <w:szCs w:val="22"/>
        </w:rPr>
      </w:pPr>
      <w:r>
        <w:rPr>
          <w:rFonts w:ascii="Arial" w:hAnsi="Arial" w:cs="Arial"/>
          <w:bCs/>
          <w:noProof/>
          <w:sz w:val="22"/>
          <w:szCs w:val="22"/>
          <w:lang w:eastAsia="en-US"/>
        </w:rPr>
        <w:pict>
          <v:shape id="_x0000_s1062" type="#_x0000_t202" style="position:absolute;left:0;text-align:left;margin-left:35.35pt;margin-top:11.55pt;width:109.35pt;height:19.85pt;z-index:251632128;mso-height-percent:200;mso-height-percent:200;mso-width-relative:margin;mso-height-relative:margin" stroked="f">
            <v:textbox style="mso-fit-shape-to-text:t">
              <w:txbxContent>
                <w:p w:rsidR="00E92D98" w:rsidRDefault="00E92D98">
                  <w:r w:rsidRPr="0015664A">
                    <w:rPr>
                      <w:rFonts w:ascii="Arial" w:hAnsi="Arial" w:cs="Arial"/>
                      <w:bCs/>
                      <w:sz w:val="22"/>
                      <w:szCs w:val="22"/>
                    </w:rPr>
                    <w:t>Evolução do IVA</w:t>
                  </w:r>
                </w:p>
              </w:txbxContent>
            </v:textbox>
          </v:shape>
        </w:pict>
      </w:r>
      <w:r w:rsidRPr="008E0DDB">
        <w:rPr>
          <w:rFonts w:ascii="Arial" w:hAnsi="Arial" w:cs="Arial"/>
          <w:noProof/>
          <w:sz w:val="22"/>
          <w:szCs w:val="22"/>
        </w:rPr>
        <w:pict>
          <v:shape id="_x0000_s1063" type="#_x0000_t202" style="position:absolute;left:0;text-align:left;margin-left:286.35pt;margin-top:11.45pt;width:109.35pt;height:19.85pt;z-index:251633152;mso-height-percent:200;mso-height-percent:200;mso-width-relative:margin;mso-height-relative:margin" stroked="f">
            <v:textbox style="mso-fit-shape-to-text:t">
              <w:txbxContent>
                <w:p w:rsidR="00E92D98" w:rsidRDefault="00E92D98" w:rsidP="002D0849">
                  <w:r w:rsidRPr="0015664A">
                    <w:rPr>
                      <w:rFonts w:ascii="Arial" w:hAnsi="Arial" w:cs="Arial"/>
                      <w:bCs/>
                      <w:sz w:val="22"/>
                      <w:szCs w:val="22"/>
                    </w:rPr>
                    <w:t xml:space="preserve">Evolução do </w:t>
                  </w:r>
                  <w:r>
                    <w:rPr>
                      <w:rFonts w:ascii="Arial" w:hAnsi="Arial" w:cs="Arial"/>
                      <w:bCs/>
                      <w:sz w:val="22"/>
                      <w:szCs w:val="22"/>
                    </w:rPr>
                    <w:t>IQ</w:t>
                  </w:r>
                  <w:r w:rsidRPr="0015664A">
                    <w:rPr>
                      <w:rFonts w:ascii="Arial" w:hAnsi="Arial" w:cs="Arial"/>
                      <w:bCs/>
                      <w:sz w:val="22"/>
                      <w:szCs w:val="22"/>
                    </w:rPr>
                    <w:t>A</w:t>
                  </w:r>
                </w:p>
              </w:txbxContent>
            </v:textbox>
          </v:shape>
        </w:pict>
      </w:r>
    </w:p>
    <w:p w:rsidR="004441E9" w:rsidRPr="0015664A" w:rsidRDefault="008E0DDB" w:rsidP="00A7054A">
      <w:pPr>
        <w:jc w:val="center"/>
        <w:rPr>
          <w:rFonts w:ascii="Arial" w:hAnsi="Arial" w:cs="Arial"/>
          <w:bCs/>
          <w:sz w:val="22"/>
          <w:szCs w:val="22"/>
        </w:rPr>
      </w:pPr>
      <w:r w:rsidRPr="008E0DDB">
        <w:rPr>
          <w:rFonts w:ascii="Arial" w:hAnsi="Arial" w:cs="Arial"/>
          <w:noProof/>
          <w:sz w:val="22"/>
          <w:szCs w:val="22"/>
        </w:rPr>
        <w:pict>
          <v:shape id="_x0000_s1041" type="#_x0000_t202" style="position:absolute;left:0;text-align:left;margin-left:232.35pt;margin-top:1.8pt;width:302.3pt;height:142.85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tzo0+C8CAABVBAAADgAAAAAAAAAAAAAAAAAuAgAAZHJz&#10;L2Uyb0RvYy54bWxQSwECLQAUAAYACAAAACEA/S8y1tsAAAAFAQAADwAAAAAAAAAAAAAAAACJBAAA&#10;ZHJzL2Rvd25yZXYueG1sUEsFBgAAAAAEAAQA8wAAAJEFAAAAAA==&#10;" stroked="f">
            <v:textbox style="mso-next-textbox:#_x0000_s1041">
              <w:txbxContent>
                <w:p w:rsidR="00E92D98" w:rsidRDefault="00E92D98">
                  <w:r>
                    <w:rPr>
                      <w:noProof/>
                    </w:rPr>
                    <w:drawing>
                      <wp:inline distT="0" distB="0" distL="0" distR="0">
                        <wp:extent cx="3004077" cy="1567543"/>
                        <wp:effectExtent l="19050" t="0" r="5823"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v:shape>
        </w:pict>
      </w:r>
      <w:r w:rsidRPr="008E0DDB">
        <w:rPr>
          <w:rFonts w:ascii="Arial" w:hAnsi="Arial" w:cs="Arial"/>
          <w:noProof/>
          <w:sz w:val="22"/>
          <w:szCs w:val="22"/>
        </w:rPr>
        <w:pict>
          <v:shape id="_x0000_s1040" type="#_x0000_t202" style="position:absolute;left:0;text-align:left;margin-left:-33.7pt;margin-top:12.4pt;width:240.4pt;height:119.35pt;z-index:25162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ljVoOLgIAAFUEAAAOAAAAAAAAAAAAAAAAAC4CAABkcnMv&#10;ZTJvRG9jLnhtbFBLAQItABQABgAIAAAAIQD9LzLW2wAAAAUBAAAPAAAAAAAAAAAAAAAAAIgEAABk&#10;cnMvZG93bnJldi54bWxQSwUGAAAAAAQABADzAAAAkAUAAAAA&#10;" stroked="f">
            <v:textbox style="mso-next-textbox:#_x0000_s1040">
              <w:txbxContent>
                <w:p w:rsidR="00E92D98" w:rsidRDefault="00E92D98">
                  <w:r w:rsidRPr="002D0849">
                    <w:rPr>
                      <w:noProof/>
                    </w:rPr>
                    <w:drawing>
                      <wp:inline distT="0" distB="0" distL="0" distR="0">
                        <wp:extent cx="2857500" cy="1438275"/>
                        <wp:effectExtent l="0" t="0" r="0" b="0"/>
                        <wp:docPr id="4348946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v:textbox>
          </v:shape>
        </w:pict>
      </w: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A91485" w:rsidRPr="0015664A" w:rsidRDefault="00A91485" w:rsidP="00A7054A">
      <w:pPr>
        <w:jc w:val="center"/>
        <w:rPr>
          <w:rFonts w:ascii="Arial" w:hAnsi="Arial" w:cs="Arial"/>
          <w:bCs/>
          <w:sz w:val="22"/>
          <w:szCs w:val="22"/>
        </w:rPr>
      </w:pPr>
    </w:p>
    <w:p w:rsidR="00E8421B" w:rsidRPr="0015664A" w:rsidRDefault="008E0DDB" w:rsidP="00A7054A">
      <w:pPr>
        <w:jc w:val="center"/>
        <w:rPr>
          <w:rFonts w:ascii="Arial" w:hAnsi="Arial" w:cs="Arial"/>
          <w:bCs/>
          <w:sz w:val="22"/>
          <w:szCs w:val="22"/>
        </w:rPr>
      </w:pPr>
      <w:r>
        <w:rPr>
          <w:rFonts w:ascii="Arial" w:hAnsi="Arial" w:cs="Arial"/>
          <w:bCs/>
          <w:noProof/>
          <w:sz w:val="22"/>
          <w:szCs w:val="22"/>
        </w:rPr>
        <w:pict>
          <v:shape id="_x0000_s1064" type="#_x0000_t202" style="position:absolute;left:0;text-align:left;margin-left:165.5pt;margin-top:5.5pt;width:109.35pt;height:19.85pt;z-index:251634176;mso-height-percent:200;mso-height-percent:200;mso-width-relative:margin;mso-height-relative:margin" stroked="f">
            <v:textbox style="mso-next-textbox:#_x0000_s1064;mso-fit-shape-to-text:t">
              <w:txbxContent>
                <w:p w:rsidR="00E92D98" w:rsidRDefault="00E92D98" w:rsidP="002D0849">
                  <w:r w:rsidRPr="0015664A">
                    <w:rPr>
                      <w:rFonts w:ascii="Arial" w:hAnsi="Arial" w:cs="Arial"/>
                      <w:bCs/>
                      <w:sz w:val="22"/>
                      <w:szCs w:val="22"/>
                    </w:rPr>
                    <w:t xml:space="preserve">Evolução do </w:t>
                  </w:r>
                  <w:r>
                    <w:rPr>
                      <w:rFonts w:ascii="Arial" w:hAnsi="Arial" w:cs="Arial"/>
                      <w:bCs/>
                      <w:sz w:val="22"/>
                      <w:szCs w:val="22"/>
                    </w:rPr>
                    <w:t>IET</w:t>
                  </w:r>
                </w:p>
              </w:txbxContent>
            </v:textbox>
          </v:shape>
        </w:pict>
      </w:r>
    </w:p>
    <w:p w:rsidR="00E8421B" w:rsidRPr="0015664A" w:rsidRDefault="00E8421B" w:rsidP="00A7054A">
      <w:pPr>
        <w:jc w:val="center"/>
        <w:rPr>
          <w:rFonts w:ascii="Arial" w:hAnsi="Arial" w:cs="Arial"/>
          <w:bCs/>
          <w:sz w:val="22"/>
          <w:szCs w:val="22"/>
        </w:rPr>
      </w:pPr>
    </w:p>
    <w:p w:rsidR="00925E35" w:rsidRPr="0015664A" w:rsidRDefault="008E0DDB" w:rsidP="00A7054A">
      <w:pPr>
        <w:jc w:val="center"/>
        <w:rPr>
          <w:rFonts w:ascii="Arial" w:hAnsi="Arial" w:cs="Arial"/>
          <w:bCs/>
          <w:sz w:val="22"/>
          <w:szCs w:val="22"/>
        </w:rPr>
      </w:pPr>
      <w:r w:rsidRPr="008E0DDB">
        <w:rPr>
          <w:rFonts w:ascii="Arial" w:hAnsi="Arial" w:cs="Arial"/>
          <w:noProof/>
          <w:sz w:val="22"/>
          <w:szCs w:val="22"/>
        </w:rPr>
        <w:pict>
          <v:shape id="_x0000_s1043" type="#_x0000_t202" style="position:absolute;left:0;text-align:left;margin-left:68.8pt;margin-top:.4pt;width:317.9pt;height:130pt;z-index:25163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5WLwIAAFU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ZvOY4TI8hbrR6LW4TjntJcktOh+cNbT&#10;jFfcf38AJznTHwy152I6n8elSMp8cV6Q4k4t21MLGEFQFQ+cjeI6pEVKxNlrauNGJYJfMjnkTLOb&#10;eD/sWVyOUz15vfwNVk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SjeuVi8CAABVBAAADgAAAAAAAAAAAAAAAAAuAgAAZHJz&#10;L2Uyb0RvYy54bWxQSwECLQAUAAYACAAAACEA/S8y1tsAAAAFAQAADwAAAAAAAAAAAAAAAACJBAAA&#10;ZHJzL2Rvd25yZXYueG1sUEsFBgAAAAAEAAQA8wAAAJEFAAAAAA==&#10;" stroked="f">
            <v:textbox style="mso-next-textbox:#_x0000_s1043">
              <w:txbxContent>
                <w:p w:rsidR="00E92D98" w:rsidRDefault="00E92D98">
                  <w:r>
                    <w:rPr>
                      <w:noProof/>
                    </w:rPr>
                    <w:drawing>
                      <wp:inline distT="0" distB="0" distL="0" distR="0">
                        <wp:extent cx="3804805" cy="1520042"/>
                        <wp:effectExtent l="19050" t="0" r="519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v:textbox>
          </v:shape>
        </w:pict>
      </w:r>
    </w:p>
    <w:p w:rsidR="00925E35" w:rsidRPr="0015664A" w:rsidRDefault="00925E3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190C3D" w:rsidRDefault="00190C3D" w:rsidP="008269C7">
      <w:pPr>
        <w:spacing w:line="360" w:lineRule="auto"/>
        <w:ind w:firstLine="708"/>
        <w:jc w:val="both"/>
        <w:rPr>
          <w:rFonts w:ascii="Arial" w:hAnsi="Arial"/>
          <w:sz w:val="20"/>
          <w:szCs w:val="20"/>
        </w:rPr>
      </w:pPr>
    </w:p>
    <w:p w:rsidR="00190C3D" w:rsidRDefault="00190C3D" w:rsidP="008269C7">
      <w:pPr>
        <w:spacing w:line="360" w:lineRule="auto"/>
        <w:ind w:firstLine="708"/>
        <w:jc w:val="both"/>
        <w:rPr>
          <w:rFonts w:ascii="Arial" w:hAnsi="Arial"/>
          <w:sz w:val="20"/>
          <w:szCs w:val="20"/>
        </w:rPr>
      </w:pPr>
    </w:p>
    <w:p w:rsidR="00190C3D" w:rsidRDefault="00190C3D" w:rsidP="008269C7">
      <w:pPr>
        <w:spacing w:line="360" w:lineRule="auto"/>
        <w:ind w:firstLine="708"/>
        <w:jc w:val="both"/>
        <w:rPr>
          <w:rFonts w:ascii="Arial" w:hAnsi="Arial"/>
          <w:sz w:val="20"/>
          <w:szCs w:val="20"/>
        </w:rPr>
      </w:pPr>
    </w:p>
    <w:p w:rsidR="00190C3D" w:rsidRDefault="00190C3D" w:rsidP="008269C7">
      <w:pPr>
        <w:spacing w:line="360" w:lineRule="auto"/>
        <w:ind w:firstLine="708"/>
        <w:jc w:val="both"/>
        <w:rPr>
          <w:rFonts w:ascii="Arial" w:hAnsi="Arial"/>
          <w:sz w:val="20"/>
          <w:szCs w:val="20"/>
        </w:rPr>
      </w:pPr>
    </w:p>
    <w:p w:rsidR="00190C3D" w:rsidRDefault="00190C3D" w:rsidP="008269C7">
      <w:pPr>
        <w:spacing w:line="360" w:lineRule="auto"/>
        <w:ind w:firstLine="708"/>
        <w:jc w:val="both"/>
        <w:rPr>
          <w:rFonts w:ascii="Arial" w:hAnsi="Arial"/>
          <w:sz w:val="20"/>
          <w:szCs w:val="20"/>
        </w:rPr>
      </w:pPr>
    </w:p>
    <w:p w:rsidR="008269C7" w:rsidRPr="000E578F" w:rsidRDefault="008269C7" w:rsidP="008269C7">
      <w:pPr>
        <w:spacing w:line="360" w:lineRule="auto"/>
        <w:ind w:firstLine="708"/>
        <w:jc w:val="both"/>
        <w:rPr>
          <w:rFonts w:ascii="Arial" w:hAnsi="Arial"/>
          <w:sz w:val="20"/>
          <w:szCs w:val="20"/>
        </w:rPr>
      </w:pPr>
      <w:r w:rsidRPr="000E578F">
        <w:rPr>
          <w:rFonts w:ascii="Arial" w:hAnsi="Arial"/>
          <w:sz w:val="20"/>
          <w:szCs w:val="20"/>
        </w:rPr>
        <w:t>Com este relatório, o CBH/SMG torna públic</w:t>
      </w:r>
      <w:r>
        <w:rPr>
          <w:rFonts w:ascii="Arial" w:hAnsi="Arial"/>
          <w:sz w:val="20"/>
          <w:szCs w:val="20"/>
        </w:rPr>
        <w:t>o</w:t>
      </w:r>
      <w:r w:rsidRPr="000E578F">
        <w:rPr>
          <w:rFonts w:ascii="Arial" w:hAnsi="Arial"/>
          <w:sz w:val="20"/>
          <w:szCs w:val="20"/>
        </w:rPr>
        <w:t xml:space="preserve"> e oferece a todos os interessados as principais informações sobre a situação dos recursos hídricos da UGRHI 08</w:t>
      </w:r>
      <w:r>
        <w:rPr>
          <w:rFonts w:ascii="Arial" w:hAnsi="Arial"/>
          <w:sz w:val="20"/>
          <w:szCs w:val="20"/>
        </w:rPr>
        <w:t xml:space="preserve">, </w:t>
      </w:r>
      <w:r w:rsidRPr="000E578F">
        <w:rPr>
          <w:rFonts w:ascii="Arial" w:hAnsi="Arial"/>
          <w:sz w:val="20"/>
          <w:szCs w:val="20"/>
        </w:rPr>
        <w:t>possibilitando uma maior conscientização da sociedade para a necessidade de preservar a água, em quantidade e qualidade, para as gerações atua</w:t>
      </w:r>
      <w:r>
        <w:rPr>
          <w:rFonts w:ascii="Arial" w:hAnsi="Arial"/>
          <w:sz w:val="20"/>
          <w:szCs w:val="20"/>
        </w:rPr>
        <w:t>is</w:t>
      </w:r>
      <w:r w:rsidRPr="000E578F">
        <w:rPr>
          <w:rFonts w:ascii="Arial" w:hAnsi="Arial"/>
          <w:sz w:val="20"/>
          <w:szCs w:val="20"/>
        </w:rPr>
        <w:t xml:space="preserve"> e futura</w:t>
      </w:r>
      <w:r>
        <w:rPr>
          <w:rFonts w:ascii="Arial" w:hAnsi="Arial"/>
          <w:sz w:val="20"/>
          <w:szCs w:val="20"/>
        </w:rPr>
        <w:t>s</w:t>
      </w:r>
      <w:r w:rsidRPr="000E578F">
        <w:rPr>
          <w:rFonts w:ascii="Arial" w:hAnsi="Arial"/>
          <w:sz w:val="20"/>
          <w:szCs w:val="20"/>
        </w:rPr>
        <w:t>.</w:t>
      </w:r>
      <w:r w:rsidRPr="000E578F">
        <w:rPr>
          <w:rFonts w:ascii="Arial" w:hAnsi="Arial" w:cs="AJensonPro-Lt"/>
          <w:sz w:val="20"/>
          <w:szCs w:val="20"/>
        </w:rPr>
        <w:t xml:space="preserve"> A disseminação dessas informações gera um conhecimento que pode estimular a maior participação popular </w:t>
      </w:r>
      <w:r>
        <w:rPr>
          <w:rFonts w:ascii="Arial" w:hAnsi="Arial" w:cs="AJensonPro-Lt"/>
          <w:sz w:val="20"/>
          <w:szCs w:val="20"/>
        </w:rPr>
        <w:t>n</w:t>
      </w:r>
      <w:r w:rsidRPr="000E578F">
        <w:rPr>
          <w:rFonts w:ascii="Arial" w:hAnsi="Arial" w:cs="AJensonPro-Lt"/>
          <w:sz w:val="20"/>
          <w:szCs w:val="20"/>
        </w:rPr>
        <w:t>o Comitê, provocando reflexões, induzindo à mudança de atitudes</w:t>
      </w:r>
      <w:r>
        <w:rPr>
          <w:rFonts w:ascii="Arial" w:hAnsi="Arial" w:cs="AJensonPro-Lt"/>
          <w:sz w:val="20"/>
          <w:szCs w:val="20"/>
        </w:rPr>
        <w:t xml:space="preserve"> e criando uma nova consciência</w:t>
      </w:r>
      <w:r w:rsidRPr="000E578F">
        <w:rPr>
          <w:rFonts w:ascii="Arial" w:hAnsi="Arial" w:cs="AJensonPro-Lt"/>
          <w:sz w:val="20"/>
          <w:szCs w:val="20"/>
        </w:rPr>
        <w:t>.</w:t>
      </w:r>
      <w:r w:rsidRPr="000E578F">
        <w:rPr>
          <w:rFonts w:ascii="Arial" w:hAnsi="Arial"/>
          <w:sz w:val="20"/>
          <w:szCs w:val="20"/>
        </w:rPr>
        <w:t xml:space="preserve"> </w:t>
      </w:r>
    </w:p>
    <w:p w:rsidR="00925E35" w:rsidRPr="0015664A" w:rsidRDefault="00925E35" w:rsidP="00A7054A">
      <w:pPr>
        <w:jc w:val="center"/>
        <w:rPr>
          <w:rFonts w:ascii="Arial" w:hAnsi="Arial" w:cs="Arial"/>
          <w:bCs/>
          <w:sz w:val="22"/>
          <w:szCs w:val="22"/>
        </w:rPr>
      </w:pPr>
    </w:p>
    <w:p w:rsidR="00925E35" w:rsidRPr="0015664A" w:rsidRDefault="00925E35" w:rsidP="00A7054A">
      <w:pPr>
        <w:jc w:val="center"/>
        <w:rPr>
          <w:rFonts w:ascii="Arial" w:hAnsi="Arial" w:cs="Arial"/>
          <w:bCs/>
          <w:sz w:val="22"/>
          <w:szCs w:val="22"/>
        </w:rPr>
      </w:pPr>
    </w:p>
    <w:p w:rsidR="00FF2543" w:rsidRDefault="00FF2543" w:rsidP="00FF2543">
      <w:pPr>
        <w:pStyle w:val="PargrafodaLista"/>
        <w:jc w:val="center"/>
        <w:rPr>
          <w:rFonts w:ascii="Arial" w:hAnsi="Arial" w:cs="Arial"/>
          <w:b/>
          <w:bCs/>
        </w:rPr>
      </w:pPr>
      <w:bookmarkStart w:id="0" w:name="_GoBack"/>
      <w:bookmarkEnd w:id="0"/>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190C3D" w:rsidRDefault="00190C3D" w:rsidP="00FF2543">
      <w:pPr>
        <w:pStyle w:val="PargrafodaLista"/>
        <w:jc w:val="center"/>
        <w:rPr>
          <w:rFonts w:ascii="Arial" w:hAnsi="Arial" w:cs="Arial"/>
          <w:b/>
          <w:bCs/>
        </w:rPr>
      </w:pPr>
    </w:p>
    <w:p w:rsidR="00FF2543" w:rsidRDefault="00FF2543"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E87091" w:rsidRDefault="00E87091" w:rsidP="00FF2543">
      <w:pPr>
        <w:pStyle w:val="PargrafodaLista"/>
        <w:jc w:val="center"/>
        <w:rPr>
          <w:rFonts w:ascii="Arial" w:hAnsi="Arial" w:cs="Arial"/>
          <w:b/>
          <w:bCs/>
        </w:rPr>
      </w:pPr>
    </w:p>
    <w:p w:rsidR="00332249" w:rsidRPr="00E92D98" w:rsidRDefault="00ED18F2" w:rsidP="00E92D98">
      <w:pPr>
        <w:ind w:left="720"/>
        <w:jc w:val="right"/>
        <w:rPr>
          <w:rFonts w:ascii="Arial" w:hAnsi="Arial" w:cs="Arial"/>
          <w:b/>
          <w:bCs/>
          <w:sz w:val="28"/>
          <w:szCs w:val="28"/>
        </w:rPr>
      </w:pPr>
      <w:r w:rsidRPr="00E92D98">
        <w:rPr>
          <w:rFonts w:ascii="Arial" w:hAnsi="Arial" w:cs="Arial"/>
          <w:b/>
          <w:bCs/>
          <w:sz w:val="28"/>
          <w:szCs w:val="28"/>
        </w:rPr>
        <w:t>Anexo</w:t>
      </w:r>
      <w:r w:rsidR="00FF2543" w:rsidRPr="00E92D98">
        <w:rPr>
          <w:rFonts w:ascii="Arial" w:hAnsi="Arial" w:cs="Arial"/>
          <w:b/>
          <w:bCs/>
          <w:sz w:val="28"/>
          <w:szCs w:val="28"/>
        </w:rPr>
        <w:t>s</w:t>
      </w: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tbl>
      <w:tblPr>
        <w:tblpPr w:leftFromText="141" w:rightFromText="141" w:vertAnchor="text" w:horzAnchor="margin" w:tblpXSpec="right" w:tblpY="-75"/>
        <w:tblW w:w="9819" w:type="dxa"/>
        <w:tblCellMar>
          <w:left w:w="70" w:type="dxa"/>
          <w:right w:w="70" w:type="dxa"/>
        </w:tblCellMar>
        <w:tblLook w:val="04A0"/>
      </w:tblPr>
      <w:tblGrid>
        <w:gridCol w:w="1555"/>
        <w:gridCol w:w="2508"/>
        <w:gridCol w:w="1712"/>
        <w:gridCol w:w="4044"/>
      </w:tblGrid>
      <w:tr w:rsidR="00E87091" w:rsidRPr="00FB42AE" w:rsidTr="00E87091">
        <w:trPr>
          <w:trHeight w:val="1200"/>
        </w:trPr>
        <w:tc>
          <w:tcPr>
            <w:tcW w:w="1555" w:type="dxa"/>
            <w:tcBorders>
              <w:top w:val="single" w:sz="8" w:space="0" w:color="auto"/>
              <w:left w:val="single" w:sz="8" w:space="0" w:color="auto"/>
              <w:bottom w:val="nil"/>
              <w:right w:val="single" w:sz="4" w:space="0" w:color="auto"/>
            </w:tcBorders>
            <w:shd w:val="clear" w:color="000000" w:fill="C0C0C0"/>
            <w:vAlign w:val="center"/>
            <w:hideMark/>
          </w:tcPr>
          <w:p w:rsidR="00E87091" w:rsidRDefault="00E87091" w:rsidP="00E87091">
            <w:pPr>
              <w:jc w:val="center"/>
              <w:rPr>
                <w:rFonts w:ascii="Arial" w:hAnsi="Arial" w:cs="Arial"/>
                <w:b/>
                <w:bCs/>
                <w:sz w:val="20"/>
                <w:szCs w:val="20"/>
              </w:rPr>
            </w:pPr>
          </w:p>
          <w:p w:rsidR="00E87091" w:rsidRDefault="00E87091" w:rsidP="00E87091">
            <w:pPr>
              <w:jc w:val="center"/>
              <w:rPr>
                <w:rFonts w:ascii="Arial" w:hAnsi="Arial" w:cs="Arial"/>
                <w:b/>
                <w:bCs/>
                <w:sz w:val="20"/>
                <w:szCs w:val="20"/>
              </w:rPr>
            </w:pPr>
          </w:p>
          <w:p w:rsidR="00E87091" w:rsidRPr="00FB42AE" w:rsidRDefault="00E87091" w:rsidP="00E87091">
            <w:pPr>
              <w:jc w:val="center"/>
              <w:rPr>
                <w:rFonts w:ascii="Arial" w:hAnsi="Arial" w:cs="Arial"/>
                <w:b/>
                <w:bCs/>
                <w:sz w:val="20"/>
                <w:szCs w:val="20"/>
              </w:rPr>
            </w:pPr>
          </w:p>
        </w:tc>
        <w:tc>
          <w:tcPr>
            <w:tcW w:w="4220" w:type="dxa"/>
            <w:gridSpan w:val="2"/>
            <w:tcBorders>
              <w:top w:val="single" w:sz="8" w:space="0" w:color="auto"/>
              <w:left w:val="nil"/>
              <w:bottom w:val="single" w:sz="8" w:space="0" w:color="auto"/>
              <w:right w:val="single" w:sz="4" w:space="0" w:color="000000"/>
            </w:tcBorders>
            <w:shd w:val="clear" w:color="000000" w:fill="C0C0C0"/>
            <w:vAlign w:val="center"/>
            <w:hideMark/>
          </w:tcPr>
          <w:p w:rsidR="00E87091" w:rsidRPr="00FB42AE" w:rsidRDefault="00E87091" w:rsidP="00E87091">
            <w:pPr>
              <w:jc w:val="center"/>
              <w:rPr>
                <w:rFonts w:ascii="Arial" w:hAnsi="Arial" w:cs="Arial"/>
                <w:b/>
                <w:bCs/>
                <w:sz w:val="20"/>
                <w:szCs w:val="20"/>
              </w:rPr>
            </w:pPr>
            <w:r w:rsidRPr="00FB42AE">
              <w:rPr>
                <w:rFonts w:ascii="Arial" w:hAnsi="Arial" w:cs="Arial"/>
                <w:b/>
                <w:bCs/>
                <w:sz w:val="20"/>
                <w:szCs w:val="20"/>
              </w:rPr>
              <w:t>Valor de Referência utilizado pelo órgão gerador do dado (Fonte)</w:t>
            </w:r>
          </w:p>
        </w:tc>
        <w:tc>
          <w:tcPr>
            <w:tcW w:w="4044" w:type="dxa"/>
            <w:tcBorders>
              <w:top w:val="single" w:sz="8" w:space="0" w:color="auto"/>
              <w:left w:val="nil"/>
              <w:bottom w:val="nil"/>
              <w:right w:val="single" w:sz="8" w:space="0" w:color="auto"/>
            </w:tcBorders>
            <w:shd w:val="clear" w:color="000000" w:fill="C0C0C0"/>
            <w:vAlign w:val="center"/>
            <w:hideMark/>
          </w:tcPr>
          <w:p w:rsidR="00E87091" w:rsidRPr="00FB42AE" w:rsidRDefault="00E87091" w:rsidP="00E87091">
            <w:pPr>
              <w:jc w:val="center"/>
              <w:rPr>
                <w:rFonts w:ascii="Arial" w:hAnsi="Arial" w:cs="Arial"/>
                <w:b/>
                <w:bCs/>
                <w:sz w:val="20"/>
                <w:szCs w:val="20"/>
              </w:rPr>
            </w:pPr>
            <w:r w:rsidRPr="00FB42AE">
              <w:rPr>
                <w:rFonts w:ascii="Arial" w:hAnsi="Arial" w:cs="Arial"/>
                <w:b/>
                <w:bCs/>
                <w:sz w:val="20"/>
                <w:szCs w:val="20"/>
              </w:rPr>
              <w:t>Valor de Referência adaptado pela CRHi para ser utilizado no Relatório de Situação</w:t>
            </w:r>
          </w:p>
        </w:tc>
      </w:tr>
      <w:tr w:rsidR="00E87091" w:rsidRPr="00FB42AE" w:rsidTr="00E87091">
        <w:trPr>
          <w:trHeight w:val="465"/>
        </w:trPr>
        <w:tc>
          <w:tcPr>
            <w:tcW w:w="155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População: n° hab. (SEADE)</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99"/>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0 - 50.000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99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50.001 - 100.000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66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100.001 - 500.000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500.001 - 1.000.000 </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8000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1.000.001 - 11.000.000</w:t>
            </w:r>
          </w:p>
        </w:tc>
      </w:tr>
      <w:tr w:rsidR="00E87091" w:rsidRPr="00FB42AE" w:rsidTr="00E87091">
        <w:trPr>
          <w:trHeight w:val="799"/>
        </w:trPr>
        <w:tc>
          <w:tcPr>
            <w:tcW w:w="1555" w:type="dxa"/>
            <w:tcBorders>
              <w:top w:val="nil"/>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FM.01-A- Taxa geométrica de crescimento anual (TGCA): % a.a.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nil"/>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510"/>
        </w:trPr>
        <w:tc>
          <w:tcPr>
            <w:tcW w:w="1555"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FM.03-A- Densidade demográfica: hab/km</w:t>
            </w:r>
            <w:r w:rsidRPr="00FB42AE">
              <w:rPr>
                <w:rFonts w:ascii="Arial" w:hAnsi="Arial" w:cs="Arial"/>
                <w:sz w:val="16"/>
                <w:szCs w:val="16"/>
                <w:vertAlign w:val="superscript"/>
              </w:rPr>
              <w:t>2</w:t>
            </w:r>
            <w:r w:rsidRPr="00FB42AE">
              <w:rPr>
                <w:rFonts w:ascii="Arial" w:hAnsi="Arial" w:cs="Arial"/>
                <w:sz w:val="16"/>
                <w:szCs w:val="16"/>
              </w:rPr>
              <w:t xml:space="preserve"> (SEADE)</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FF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0 - 25</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CC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25,1 - 50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333399"/>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50,1 - 100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CC99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100,1 - 500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993366"/>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500,1 - 1.000</w:t>
            </w:r>
          </w:p>
        </w:tc>
      </w:tr>
      <w:tr w:rsidR="00E87091" w:rsidRPr="00FB42AE" w:rsidTr="00E87091">
        <w:trPr>
          <w:trHeight w:val="402"/>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1.000,1 - 12.500</w:t>
            </w:r>
          </w:p>
        </w:tc>
      </w:tr>
      <w:tr w:rsidR="00E87091" w:rsidRPr="00FB42AE" w:rsidTr="00E87091">
        <w:trPr>
          <w:trHeight w:val="480"/>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FM.03-B- Taxa de urbanização: % (SEADE)</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99CC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22,0 - 60,0</w:t>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8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60,1 - 80,0</w:t>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80,1 - 90,0</w:t>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339966"/>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90,1 - 100</w:t>
            </w:r>
          </w:p>
        </w:tc>
      </w:tr>
      <w:tr w:rsidR="00E87091" w:rsidRPr="00FB42AE" w:rsidTr="00E87091">
        <w:trPr>
          <w:trHeight w:val="1395"/>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FM.04-A- Índice Paulista de Responsabilidade Social - IPRS (SEADE) </w:t>
            </w:r>
          </w:p>
        </w:tc>
        <w:tc>
          <w:tcPr>
            <w:tcW w:w="4220" w:type="dxa"/>
            <w:gridSpan w:val="2"/>
            <w:tcBorders>
              <w:top w:val="single" w:sz="8" w:space="0" w:color="auto"/>
              <w:left w:val="nil"/>
              <w:bottom w:val="single" w:sz="4" w:space="0" w:color="auto"/>
              <w:right w:val="single" w:sz="4" w:space="0" w:color="000000"/>
            </w:tcBorders>
            <w:shd w:val="clear" w:color="000000" w:fill="3366FF"/>
            <w:vAlign w:val="center"/>
            <w:hideMark/>
          </w:tcPr>
          <w:p w:rsidR="00E87091" w:rsidRPr="00FB42AE" w:rsidRDefault="00E87091" w:rsidP="00E87091">
            <w:pPr>
              <w:rPr>
                <w:rFonts w:ascii="Arial" w:hAnsi="Arial" w:cs="Arial"/>
                <w:b/>
                <w:bCs/>
                <w:sz w:val="16"/>
                <w:szCs w:val="16"/>
              </w:rPr>
            </w:pPr>
            <w:r w:rsidRPr="00FB42AE">
              <w:rPr>
                <w:rFonts w:ascii="Arial" w:hAnsi="Arial" w:cs="Arial"/>
                <w:b/>
                <w:bCs/>
                <w:sz w:val="16"/>
                <w:szCs w:val="16"/>
              </w:rPr>
              <w:t>Grupo 1</w:t>
            </w:r>
            <w:r w:rsidRPr="00FB42AE">
              <w:rPr>
                <w:rFonts w:ascii="Arial" w:hAnsi="Arial" w:cs="Arial"/>
                <w:sz w:val="16"/>
                <w:szCs w:val="16"/>
              </w:rPr>
              <w:t xml:space="preserve"> - Alta riqueza, alta longevidade e média escolaridade ou Alta riqueza, alta longevidade e alta escolaridade ou Alta riqueza, média longevidade e média escolaridade ou Alta riqueza, média longevidade e alta escolaridade</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municípios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e ao Estado de SP (somente aos municípios).</w:t>
            </w:r>
          </w:p>
        </w:tc>
      </w:tr>
      <w:tr w:rsidR="00E87091" w:rsidRPr="00FB42AE" w:rsidTr="00E87091">
        <w:trPr>
          <w:trHeight w:val="1785"/>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000000"/>
            </w:tcBorders>
            <w:shd w:val="clear" w:color="000000" w:fill="008000"/>
            <w:vAlign w:val="center"/>
            <w:hideMark/>
          </w:tcPr>
          <w:p w:rsidR="00E87091" w:rsidRPr="00FB42AE" w:rsidRDefault="00E87091" w:rsidP="00E87091">
            <w:pPr>
              <w:rPr>
                <w:rFonts w:ascii="Arial" w:hAnsi="Arial" w:cs="Arial"/>
                <w:b/>
                <w:bCs/>
                <w:sz w:val="16"/>
                <w:szCs w:val="16"/>
              </w:rPr>
            </w:pPr>
            <w:r w:rsidRPr="00FB42AE">
              <w:rPr>
                <w:rFonts w:ascii="Arial" w:hAnsi="Arial" w:cs="Arial"/>
                <w:b/>
                <w:bCs/>
                <w:sz w:val="16"/>
                <w:szCs w:val="16"/>
              </w:rPr>
              <w:t>Grupo 2</w:t>
            </w:r>
            <w:r w:rsidRPr="00FB42AE">
              <w:rPr>
                <w:rFonts w:ascii="Arial" w:hAnsi="Arial" w:cs="Arial"/>
                <w:sz w:val="16"/>
                <w:szCs w:val="16"/>
              </w:rPr>
              <w:t xml:space="preserve"> - Alta riqueza, baixa longevidade e baixa escolaridade ou Alta riqueza, baixa longevidade e média escolaridade ou Alta riqueza, baixa longevidade e alta escolaridade ou Alta riqueza, média longevidade e baixa escolaridade ou Alta riqueza, alta longevidade e baixa escolaridade</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1590"/>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000000"/>
            </w:tcBorders>
            <w:shd w:val="clear" w:color="000000" w:fill="FFCC00"/>
            <w:vAlign w:val="center"/>
            <w:hideMark/>
          </w:tcPr>
          <w:p w:rsidR="00E87091" w:rsidRPr="00FB42AE" w:rsidRDefault="00E87091" w:rsidP="00E87091">
            <w:pPr>
              <w:rPr>
                <w:rFonts w:ascii="Arial" w:hAnsi="Arial" w:cs="Arial"/>
                <w:b/>
                <w:bCs/>
                <w:sz w:val="16"/>
                <w:szCs w:val="16"/>
              </w:rPr>
            </w:pPr>
            <w:r w:rsidRPr="00FB42AE">
              <w:rPr>
                <w:rFonts w:ascii="Arial" w:hAnsi="Arial" w:cs="Arial"/>
                <w:b/>
                <w:bCs/>
                <w:sz w:val="16"/>
                <w:szCs w:val="16"/>
              </w:rPr>
              <w:t>Grupo 3</w:t>
            </w:r>
            <w:r w:rsidRPr="00FB42AE">
              <w:rPr>
                <w:rFonts w:ascii="Arial" w:hAnsi="Arial" w:cs="Arial"/>
                <w:sz w:val="16"/>
                <w:szCs w:val="16"/>
              </w:rPr>
              <w:t xml:space="preserve"> - Baixa riqueza, alta longevidade e alta escolaridade ou Baixa riqueza, alta longevidade e média escolaridade ou Baixa riqueza, média longevidade e alta escolaridade ou Baixa riqueza, média longevidade e média escolaridade</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1470"/>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000000"/>
            </w:tcBorders>
            <w:shd w:val="clear" w:color="000000" w:fill="FF6600"/>
            <w:vAlign w:val="center"/>
            <w:hideMark/>
          </w:tcPr>
          <w:p w:rsidR="00E87091" w:rsidRPr="00FB42AE" w:rsidRDefault="00E87091" w:rsidP="00E87091">
            <w:pPr>
              <w:rPr>
                <w:rFonts w:ascii="Arial" w:hAnsi="Arial" w:cs="Arial"/>
                <w:b/>
                <w:bCs/>
                <w:sz w:val="16"/>
                <w:szCs w:val="16"/>
              </w:rPr>
            </w:pPr>
            <w:r w:rsidRPr="00FB42AE">
              <w:rPr>
                <w:rFonts w:ascii="Arial" w:hAnsi="Arial" w:cs="Arial"/>
                <w:b/>
                <w:bCs/>
                <w:sz w:val="16"/>
                <w:szCs w:val="16"/>
              </w:rPr>
              <w:t>Grupo 4</w:t>
            </w:r>
            <w:r w:rsidRPr="00FB42AE">
              <w:rPr>
                <w:rFonts w:ascii="Arial" w:hAnsi="Arial" w:cs="Arial"/>
                <w:sz w:val="16"/>
                <w:szCs w:val="16"/>
              </w:rPr>
              <w:t xml:space="preserve"> - Baixa riqueza, baixa longevidade e média escolaridade ou Baixa riqueza, baixa longevidade e alta escolaridade ou Baixa riqueza, média longevidade e baixa escolaridade ou Baixa riqueza, alta longevidade e baixa escolaridade </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570"/>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8" w:space="0" w:color="auto"/>
              <w:right w:val="single" w:sz="4" w:space="0" w:color="000000"/>
            </w:tcBorders>
            <w:shd w:val="clear" w:color="000000" w:fill="FF0000"/>
            <w:vAlign w:val="center"/>
            <w:hideMark/>
          </w:tcPr>
          <w:p w:rsidR="00E87091" w:rsidRPr="00FB42AE" w:rsidRDefault="00E87091" w:rsidP="00E87091">
            <w:pPr>
              <w:rPr>
                <w:rFonts w:ascii="Arial" w:hAnsi="Arial" w:cs="Arial"/>
                <w:b/>
                <w:bCs/>
                <w:sz w:val="16"/>
                <w:szCs w:val="16"/>
              </w:rPr>
            </w:pPr>
            <w:r w:rsidRPr="00FB42AE">
              <w:rPr>
                <w:rFonts w:ascii="Arial" w:hAnsi="Arial" w:cs="Arial"/>
                <w:b/>
                <w:bCs/>
                <w:sz w:val="16"/>
                <w:szCs w:val="16"/>
              </w:rPr>
              <w:t>Grupo 5</w:t>
            </w:r>
            <w:r w:rsidRPr="00FB42AE">
              <w:rPr>
                <w:rFonts w:ascii="Arial" w:hAnsi="Arial" w:cs="Arial"/>
                <w:sz w:val="16"/>
                <w:szCs w:val="16"/>
              </w:rPr>
              <w:t xml:space="preserve"> - Baixa riqueza, baixa longevidade e baixa escolaridade</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702"/>
        </w:trPr>
        <w:tc>
          <w:tcPr>
            <w:tcW w:w="1555" w:type="dxa"/>
            <w:vMerge w:val="restart"/>
            <w:tcBorders>
              <w:top w:val="nil"/>
              <w:left w:val="single" w:sz="8" w:space="0" w:color="auto"/>
              <w:bottom w:val="single" w:sz="8" w:space="0" w:color="000000"/>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FM.04-B- Índice de desenvolvimento humano municipal - IDH-M (SEADE)</w:t>
            </w:r>
          </w:p>
        </w:tc>
        <w:tc>
          <w:tcPr>
            <w:tcW w:w="4220" w:type="dxa"/>
            <w:gridSpan w:val="2"/>
            <w:tcBorders>
              <w:top w:val="single" w:sz="8" w:space="0" w:color="auto"/>
              <w:left w:val="nil"/>
              <w:bottom w:val="single" w:sz="4"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IDHM &gt; 0,800   Alto desenvolvimento humano</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municípios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(somente aos municípios e ao Estado de SP).</w:t>
            </w:r>
          </w:p>
        </w:tc>
      </w:tr>
      <w:tr w:rsidR="00E87091" w:rsidRPr="00FB42AE" w:rsidTr="00E87091">
        <w:trPr>
          <w:trHeight w:val="7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0,500 &lt; IDHM &lt; 0,800   Médio desenvolvimento humano</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7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IDHM &lt; 0,500   Baixo desenvolvimento humano</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870"/>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FM.05-B- Exploração animal - Bovinocultura (corte, leite, mista):  n° de animais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FM.05-C- Exploração animal - Avicultura (corte, ovos):  n° de animais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FM.05-D- Exploração animal - Suinocultura (corte): n° de animais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FM.06-B- Quantidade de estabelecimentos industriais: n° de indústrias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FM.06-C- Quantidade de estabelecimentos de mineração em geral: n° (CPRM) </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FM.06-D- Quantidade de estabelecimentos de extração de água mineral: n° (CPRM)</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FM.07-A- Quantidade de estabelecimentos de comércio: n°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FM.07-B- Quantidade de estabelecimentos de serviços: n° (SEADE)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FM.09-A- Potência de energia hidrelétrica outorgada: kW (ANEEL) </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FM.09-B- Área inundada por reservatórios hidrelétricos: km</w:t>
            </w:r>
            <w:r w:rsidRPr="00FB42AE">
              <w:rPr>
                <w:rFonts w:ascii="Arial" w:hAnsi="Arial" w:cs="Arial"/>
                <w:sz w:val="16"/>
                <w:szCs w:val="16"/>
                <w:vertAlign w:val="superscript"/>
              </w:rPr>
              <w:t>2</w:t>
            </w:r>
            <w:r w:rsidRPr="00FB42AE">
              <w:rPr>
                <w:rFonts w:ascii="Arial" w:hAnsi="Arial" w:cs="Arial"/>
                <w:sz w:val="16"/>
                <w:szCs w:val="16"/>
              </w:rPr>
              <w:t xml:space="preserve"> (ANEEL) </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P.01-A- Demanda total de água: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nil"/>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P.01-B- Demanda de água superficial: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nil"/>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single" w:sz="8" w:space="0" w:color="auto"/>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P.01-C- Demanda de água subterrânea: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P.02-A- Demanda urbana de água: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P.02-B- Demanda industrial de água: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P.02-C- Demanda rural de água: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P.02-D- Demanda para outros usos da água: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P.02-E- Demanda estimada para Abastecimento Urbano: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15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P.03-A- Quantidade de captações superficiais em relação à área total da bacia: nº de outorgas/ 1.000 km</w:t>
            </w:r>
            <w:r w:rsidRPr="00FB42AE">
              <w:rPr>
                <w:rFonts w:ascii="Arial" w:hAnsi="Arial" w:cs="Arial"/>
                <w:sz w:val="16"/>
                <w:szCs w:val="16"/>
                <w:vertAlign w:val="superscript"/>
              </w:rPr>
              <w:t>2</w:t>
            </w:r>
            <w:r w:rsidRPr="00FB42AE">
              <w:rPr>
                <w:rFonts w:ascii="Arial" w:hAnsi="Arial" w:cs="Arial"/>
                <w:sz w:val="16"/>
                <w:szCs w:val="16"/>
              </w:rPr>
              <w:t xml:space="preserve"> (DAEE/SEADE)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18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P.03-B- Quantidade de captações subterrâneas em relação à área total da bacia: nº de outorgas/ 1.000 km</w:t>
            </w:r>
            <w:r w:rsidRPr="00FB42AE">
              <w:rPr>
                <w:rFonts w:ascii="Arial" w:hAnsi="Arial" w:cs="Arial"/>
                <w:sz w:val="16"/>
                <w:szCs w:val="16"/>
                <w:vertAlign w:val="superscript"/>
              </w:rPr>
              <w:t>2</w:t>
            </w:r>
            <w:r w:rsidRPr="00FB42AE">
              <w:rPr>
                <w:rFonts w:ascii="Arial" w:hAnsi="Arial" w:cs="Arial"/>
                <w:sz w:val="16"/>
                <w:szCs w:val="16"/>
              </w:rPr>
              <w:t xml:space="preserve"> (DAEE/SEADE)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P.03-C- Proporção de captações superficiais em relação ao total: %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P.03-D- Proporção de captações subterrâneas em relação ao total: %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87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P.04-A- Quantidade de resíduos sólidos domiciliares gerados: ton/dia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99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P.05-C- Carga orgânica poluidora doméstica remanescente: kg de DBO</w:t>
            </w:r>
            <w:r w:rsidRPr="00FB42AE">
              <w:rPr>
                <w:rFonts w:ascii="Arial" w:hAnsi="Arial" w:cs="Arial"/>
                <w:sz w:val="16"/>
                <w:szCs w:val="16"/>
                <w:vertAlign w:val="subscript"/>
              </w:rPr>
              <w:t>5,20</w:t>
            </w:r>
            <w:r w:rsidRPr="00FB42AE">
              <w:rPr>
                <w:rFonts w:ascii="Arial" w:hAnsi="Arial" w:cs="Arial"/>
                <w:sz w:val="16"/>
                <w:szCs w:val="16"/>
              </w:rPr>
              <w:t>/dia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2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P.06-A- Quantidade de áreas contaminadas em que o contaminante atingiu o solo ou a água: n°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2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P.06-B- Ocorrência de descarga/derrame de produtos químicos no solo ou na água: n°/ano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3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P.07-A- Quantidade de voçorocas em relação à área total da bacia:  n° de voçorocas/km</w:t>
            </w:r>
            <w:r w:rsidRPr="00FB42AE">
              <w:rPr>
                <w:rFonts w:ascii="Arial" w:hAnsi="Arial" w:cs="Arial"/>
                <w:sz w:val="16"/>
                <w:szCs w:val="16"/>
                <w:vertAlign w:val="superscript"/>
              </w:rPr>
              <w:t>2</w:t>
            </w:r>
            <w:r w:rsidRPr="00FB42AE">
              <w:rPr>
                <w:rFonts w:ascii="Arial" w:hAnsi="Arial" w:cs="Arial"/>
                <w:sz w:val="16"/>
                <w:szCs w:val="16"/>
              </w:rPr>
              <w:t xml:space="preserve"> (DAEE/IPT)</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P.08-A - Quantidade de barramentos hidrelétricos: n° (ANEEL)</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P.08-D- Quantidade de barramentos: n°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499"/>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E.01-A- IQA - Índice de Qualidade das Águas (CETESB)</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ponto de monitoramento:</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pontos de monitoramento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nem ao município, somente aos pontos.</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008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79&lt;IQA≤100      ÓTIMA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8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51&lt;IQA≤79         BOA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FF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36&lt;IQA≤51        REGULAR</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19&lt;IQA≤36        RUIM</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80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IQA≤19         PÉSSIMA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E.01-B- IAP - Índice de Qualidade das Águas Brutas para fins de Abastecimento Público (CETESB)</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ponto de monitoramento:</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pontos de monitoramento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nem ao município, somente aos pontos.</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008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79&lt;IAP≤100          ÓTIMA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8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51&lt;IAP≤79          BOA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FF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36&lt;IAP≤51       REGULAR</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19&lt;IAP≤36         RUIM</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80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IAP≤19          PÉSSIMA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E.01-C- IVA - Índice de Qualidade das Águas para a Proteção da Vida Aquática (CETESB)</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ponto de monitoramento:</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pontos de monitoramento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nem ao município, somente aos pontos.</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008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IVA ≤ 2,5        ÓTIMA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8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2,6 &lt; IVA ≤ 3,3        BOA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FF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3,4 &lt; IVA ≤ 4,5     REGULAR</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4,6 &lt; IVA ≤ 6,7     RUIM</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80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6,8 ≤ IVA      PÉSSIMA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val="restart"/>
            <w:tcBorders>
              <w:top w:val="nil"/>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E.01-D- IET - Índice de Estado Trófico (CETESB)</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ponto de monitoramento:</w:t>
            </w:r>
          </w:p>
        </w:tc>
        <w:tc>
          <w:tcPr>
            <w:tcW w:w="4044" w:type="dxa"/>
            <w:vMerge w:val="restart"/>
            <w:tcBorders>
              <w:top w:val="nil"/>
              <w:left w:val="single" w:sz="4" w:space="0" w:color="auto"/>
              <w:bottom w:val="nil"/>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dos pontos de monitoramento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nem ao município, somente aos pontos.</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008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IET ≤47,5             Ultraoligotrófico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008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47,5&lt;IET≤52,5           Oligotrófico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FF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52,5&lt;IET≤59,5           Mesotrófico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99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59,5&lt;IET≤63,5       Eutrófico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FF0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63,5&lt;IET≤67,5            Supereutrófico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nil"/>
              <w:right w:val="single" w:sz="4" w:space="0" w:color="000000"/>
            </w:tcBorders>
            <w:shd w:val="clear" w:color="000000" w:fill="80008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IET&gt;67,5             Hipereutrófico</w:t>
            </w:r>
          </w:p>
        </w:tc>
        <w:tc>
          <w:tcPr>
            <w:tcW w:w="4044" w:type="dxa"/>
            <w:vMerge/>
            <w:tcBorders>
              <w:top w:val="nil"/>
              <w:left w:val="single" w:sz="4" w:space="0" w:color="auto"/>
              <w:bottom w:val="nil"/>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1380"/>
        </w:trPr>
        <w:tc>
          <w:tcPr>
            <w:tcW w:w="1555" w:type="dxa"/>
            <w:tcBorders>
              <w:top w:val="single" w:sz="8" w:space="0" w:color="auto"/>
              <w:left w:val="single" w:sz="8" w:space="0" w:color="auto"/>
              <w:bottom w:val="single" w:sz="8" w:space="0" w:color="auto"/>
              <w:right w:val="nil"/>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E.01-E- Proporção de amostras com OD acima 5 mg/l: % (CETESB)</w:t>
            </w:r>
          </w:p>
        </w:tc>
        <w:tc>
          <w:tcPr>
            <w:tcW w:w="4220" w:type="dxa"/>
            <w:gridSpan w:val="2"/>
            <w:tcBorders>
              <w:top w:val="single" w:sz="8" w:space="0" w:color="auto"/>
              <w:left w:val="single" w:sz="4" w:space="0" w:color="auto"/>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Valor de referência Resolução CONAMA 357/2005: concentração de oxigêniol ≥  5 mg/L é o valor mínimo determinado para Água Doce - Classe 2.</w:t>
            </w:r>
          </w:p>
        </w:tc>
        <w:tc>
          <w:tcPr>
            <w:tcW w:w="4044" w:type="dxa"/>
            <w:tcBorders>
              <w:top w:val="single" w:sz="8" w:space="0" w:color="auto"/>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185"/>
        </w:trPr>
        <w:tc>
          <w:tcPr>
            <w:tcW w:w="1555" w:type="dxa"/>
            <w:tcBorders>
              <w:top w:val="nil"/>
              <w:left w:val="single" w:sz="8" w:space="0" w:color="auto"/>
              <w:bottom w:val="single" w:sz="8" w:space="0" w:color="auto"/>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E.01-F - Proporção de cursos d'água afluentes litorâneos que atendem a Resolução CONAMA 357: % (CETESB)</w:t>
            </w:r>
          </w:p>
        </w:tc>
        <w:tc>
          <w:tcPr>
            <w:tcW w:w="4220"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Valor de referência Resolução CONAMA 357/2005: NMP de coliformes termotolerantes ≥ 1000/100ml é o valor considerado para corpos de Água Doce - Classe 2</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960"/>
        </w:trPr>
        <w:tc>
          <w:tcPr>
            <w:tcW w:w="1555" w:type="dxa"/>
            <w:tcBorders>
              <w:top w:val="nil"/>
              <w:left w:val="single" w:sz="8" w:space="0" w:color="auto"/>
              <w:bottom w:val="single" w:sz="8" w:space="0" w:color="auto"/>
              <w:right w:val="nil"/>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E.02-A. Proporção amostras com nitrato acima de 5 mg/l: % (CETESB)</w:t>
            </w:r>
          </w:p>
        </w:tc>
        <w:tc>
          <w:tcPr>
            <w:tcW w:w="4220"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O valor de prevenção não deve ultrapassar 5 mg/L</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200"/>
        </w:trPr>
        <w:tc>
          <w:tcPr>
            <w:tcW w:w="1555" w:type="dxa"/>
            <w:tcBorders>
              <w:top w:val="nil"/>
              <w:left w:val="single" w:sz="8" w:space="0" w:color="auto"/>
              <w:bottom w:val="single" w:sz="4" w:space="0" w:color="auto"/>
              <w:right w:val="nil"/>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E.02-B. Proporção de amostras desconformes em relação aos padrões de potabilidade da água: n°/ano (CETESB) </w:t>
            </w:r>
          </w:p>
        </w:tc>
        <w:tc>
          <w:tcPr>
            <w:tcW w:w="4220"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600"/>
        </w:trPr>
        <w:tc>
          <w:tcPr>
            <w:tcW w:w="1555" w:type="dxa"/>
            <w:tcBorders>
              <w:top w:val="single" w:sz="4"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044" w:type="dxa"/>
            <w:tcBorders>
              <w:top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p>
        </w:tc>
      </w:tr>
      <w:tr w:rsidR="00E87091" w:rsidRPr="00FB42AE" w:rsidTr="00E87091">
        <w:trPr>
          <w:trHeight w:val="600"/>
        </w:trPr>
        <w:tc>
          <w:tcPr>
            <w:tcW w:w="1555" w:type="dxa"/>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shd w:val="clear" w:color="auto" w:fill="auto"/>
            <w:vAlign w:val="center"/>
            <w:hideMark/>
          </w:tcPr>
          <w:p w:rsidR="00E87091" w:rsidRPr="00FB42AE" w:rsidRDefault="00E87091" w:rsidP="00E87091">
            <w:pPr>
              <w:rPr>
                <w:rFonts w:ascii="Arial" w:hAnsi="Arial" w:cs="Arial"/>
                <w:sz w:val="16"/>
                <w:szCs w:val="16"/>
              </w:rPr>
            </w:pPr>
          </w:p>
        </w:tc>
        <w:tc>
          <w:tcPr>
            <w:tcW w:w="4044" w:type="dxa"/>
            <w:shd w:val="clear" w:color="auto" w:fill="auto"/>
            <w:vAlign w:val="center"/>
            <w:hideMark/>
          </w:tcPr>
          <w:p w:rsidR="00E87091" w:rsidRPr="00FB42AE" w:rsidRDefault="00E87091" w:rsidP="00E87091">
            <w:pPr>
              <w:jc w:val="center"/>
              <w:rPr>
                <w:rFonts w:ascii="Arial" w:hAnsi="Arial" w:cs="Arial"/>
                <w:sz w:val="16"/>
                <w:szCs w:val="16"/>
              </w:rPr>
            </w:pPr>
          </w:p>
        </w:tc>
      </w:tr>
      <w:tr w:rsidR="00E87091" w:rsidRPr="00FB42AE" w:rsidTr="00E87091">
        <w:trPr>
          <w:trHeight w:val="600"/>
        </w:trPr>
        <w:tc>
          <w:tcPr>
            <w:tcW w:w="1555" w:type="dxa"/>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shd w:val="clear" w:color="auto" w:fill="auto"/>
            <w:vAlign w:val="center"/>
            <w:hideMark/>
          </w:tcPr>
          <w:p w:rsidR="00E87091" w:rsidRPr="00FB42AE" w:rsidRDefault="00E87091" w:rsidP="00E87091">
            <w:pPr>
              <w:rPr>
                <w:rFonts w:ascii="Arial" w:hAnsi="Arial" w:cs="Arial"/>
                <w:sz w:val="16"/>
                <w:szCs w:val="16"/>
              </w:rPr>
            </w:pPr>
          </w:p>
        </w:tc>
        <w:tc>
          <w:tcPr>
            <w:tcW w:w="4044" w:type="dxa"/>
            <w:shd w:val="clear" w:color="auto" w:fill="auto"/>
            <w:vAlign w:val="center"/>
            <w:hideMark/>
          </w:tcPr>
          <w:p w:rsidR="00E87091" w:rsidRPr="00FB42AE" w:rsidRDefault="00E87091" w:rsidP="00E87091">
            <w:pPr>
              <w:jc w:val="center"/>
              <w:rPr>
                <w:rFonts w:ascii="Arial" w:hAnsi="Arial" w:cs="Arial"/>
                <w:sz w:val="16"/>
                <w:szCs w:val="16"/>
              </w:rPr>
            </w:pPr>
          </w:p>
        </w:tc>
      </w:tr>
      <w:tr w:rsidR="00E87091" w:rsidRPr="00FB42AE" w:rsidTr="00E87091">
        <w:trPr>
          <w:trHeight w:val="600"/>
        </w:trPr>
        <w:tc>
          <w:tcPr>
            <w:tcW w:w="1555" w:type="dxa"/>
            <w:tcBorders>
              <w:bottom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tcBorders>
              <w:bottom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044" w:type="dxa"/>
            <w:tcBorders>
              <w:bottom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p>
        </w:tc>
      </w:tr>
      <w:tr w:rsidR="00E87091" w:rsidRPr="00FB42AE" w:rsidTr="00E87091">
        <w:trPr>
          <w:trHeight w:val="600"/>
        </w:trPr>
        <w:tc>
          <w:tcPr>
            <w:tcW w:w="155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E.03-A- Proporção de praias costeiras monitoradas que permaneceram próprias o ano todo: % (CETESB)</w:t>
            </w:r>
          </w:p>
        </w:tc>
        <w:tc>
          <w:tcPr>
            <w:tcW w:w="4220" w:type="dxa"/>
            <w:gridSpan w:val="2"/>
            <w:tcBorders>
              <w:top w:val="single" w:sz="8" w:space="0" w:color="auto"/>
              <w:left w:val="single" w:sz="4" w:space="0" w:color="auto"/>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a praia:</w:t>
            </w:r>
          </w:p>
        </w:tc>
        <w:tc>
          <w:tcPr>
            <w:tcW w:w="404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das praias vide o valor de referencia estabelecido pela Fonte.</w:t>
            </w:r>
            <w:r w:rsidRPr="00FB42AE">
              <w:rPr>
                <w:rFonts w:ascii="Arial" w:hAnsi="Arial" w:cs="Arial"/>
                <w:sz w:val="16"/>
                <w:szCs w:val="16"/>
              </w:rPr>
              <w:br w:type="page"/>
            </w:r>
            <w:r w:rsidRPr="00FB42AE">
              <w:rPr>
                <w:rFonts w:ascii="Arial" w:hAnsi="Arial" w:cs="Arial"/>
                <w:sz w:val="16"/>
                <w:szCs w:val="16"/>
              </w:rPr>
              <w:br w:type="page"/>
              <w:t>O valor de referencia não se aplica a UGRHI nem ao município, somente às praias.</w:t>
            </w:r>
            <w:r w:rsidRPr="00FB42AE">
              <w:rPr>
                <w:rFonts w:ascii="Arial" w:hAnsi="Arial" w:cs="Arial"/>
                <w:sz w:val="16"/>
                <w:szCs w:val="16"/>
              </w:rPr>
              <w:br w:type="page"/>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PRÓPRIA </w:t>
            </w:r>
          </w:p>
        </w:tc>
        <w:tc>
          <w:tcPr>
            <w:tcW w:w="1712" w:type="dxa"/>
            <w:tcBorders>
              <w:top w:val="single" w:sz="4" w:space="0" w:color="auto"/>
              <w:left w:val="nil"/>
              <w:bottom w:val="nil"/>
              <w:right w:val="single" w:sz="4" w:space="0" w:color="auto"/>
            </w:tcBorders>
            <w:shd w:val="clear" w:color="000000" w:fill="3366FF"/>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ÓTIMA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single" w:sz="4" w:space="0" w:color="auto"/>
              <w:left w:val="single" w:sz="4" w:space="0" w:color="auto"/>
              <w:bottom w:val="single" w:sz="4" w:space="0" w:color="000000"/>
              <w:right w:val="single" w:sz="4" w:space="0" w:color="auto"/>
            </w:tcBorders>
            <w:vAlign w:val="center"/>
            <w:hideMark/>
          </w:tcPr>
          <w:p w:rsidR="00E87091" w:rsidRPr="00FB42AE" w:rsidRDefault="00E87091" w:rsidP="00E87091">
            <w:pPr>
              <w:rPr>
                <w:rFonts w:ascii="Arial" w:hAnsi="Arial" w:cs="Arial"/>
                <w:color w:val="FFFFFF"/>
                <w:sz w:val="16"/>
                <w:szCs w:val="16"/>
              </w:rPr>
            </w:pPr>
          </w:p>
        </w:tc>
        <w:tc>
          <w:tcPr>
            <w:tcW w:w="1712" w:type="dxa"/>
            <w:tcBorders>
              <w:top w:val="nil"/>
              <w:left w:val="nil"/>
              <w:bottom w:val="single" w:sz="4" w:space="0" w:color="auto"/>
              <w:right w:val="single" w:sz="4" w:space="0" w:color="auto"/>
            </w:tcBorders>
            <w:shd w:val="clear" w:color="000000" w:fill="0080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BOA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val="restart"/>
            <w:tcBorders>
              <w:top w:val="nil"/>
              <w:left w:val="single" w:sz="4" w:space="0" w:color="auto"/>
              <w:bottom w:val="single" w:sz="8" w:space="0" w:color="000000"/>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IMPRÓPRIA</w:t>
            </w:r>
          </w:p>
        </w:tc>
        <w:tc>
          <w:tcPr>
            <w:tcW w:w="1712" w:type="dxa"/>
            <w:tcBorders>
              <w:top w:val="nil"/>
              <w:left w:val="nil"/>
              <w:bottom w:val="nil"/>
              <w:right w:val="single" w:sz="4"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REGULAR</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nil"/>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1712" w:type="dxa"/>
            <w:tcBorders>
              <w:top w:val="nil"/>
              <w:left w:val="nil"/>
              <w:bottom w:val="nil"/>
              <w:right w:val="single" w:sz="4" w:space="0" w:color="auto"/>
            </w:tcBorders>
            <w:shd w:val="clear" w:color="000000" w:fill="FF99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RUIM</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nil"/>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1712" w:type="dxa"/>
            <w:tcBorders>
              <w:top w:val="nil"/>
              <w:left w:val="nil"/>
              <w:bottom w:val="single" w:sz="8" w:space="0" w:color="auto"/>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PÉSSIMA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600"/>
        </w:trPr>
        <w:tc>
          <w:tcPr>
            <w:tcW w:w="1555" w:type="dxa"/>
            <w:vMerge w:val="restart"/>
            <w:tcBorders>
              <w:top w:val="nil"/>
              <w:left w:val="single" w:sz="8" w:space="0" w:color="auto"/>
              <w:bottom w:val="single" w:sz="8" w:space="0" w:color="000000"/>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E.03-B- Proporção de praias de água doce monitoradas que permaneceram próprias o ano todo: % (CETESB)</w:t>
            </w:r>
          </w:p>
        </w:tc>
        <w:tc>
          <w:tcPr>
            <w:tcW w:w="4220" w:type="dxa"/>
            <w:gridSpan w:val="2"/>
            <w:tcBorders>
              <w:top w:val="nil"/>
              <w:left w:val="single" w:sz="4" w:space="0" w:color="auto"/>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a praia:</w:t>
            </w:r>
          </w:p>
        </w:tc>
        <w:tc>
          <w:tcPr>
            <w:tcW w:w="4044" w:type="dxa"/>
            <w:vMerge w:val="restart"/>
            <w:tcBorders>
              <w:top w:val="nil"/>
              <w:left w:val="single" w:sz="4" w:space="0" w:color="auto"/>
              <w:bottom w:val="single" w:sz="8" w:space="0" w:color="000000"/>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Para a classificação das praias vide o valor de referencia estabelecido pela Fonte.</w:t>
            </w:r>
            <w:r w:rsidRPr="00FB42AE">
              <w:rPr>
                <w:rFonts w:ascii="Arial" w:hAnsi="Arial" w:cs="Arial"/>
                <w:sz w:val="16"/>
                <w:szCs w:val="16"/>
              </w:rPr>
              <w:br/>
            </w:r>
            <w:r w:rsidRPr="00FB42AE">
              <w:rPr>
                <w:rFonts w:ascii="Arial" w:hAnsi="Arial" w:cs="Arial"/>
                <w:sz w:val="16"/>
                <w:szCs w:val="16"/>
              </w:rPr>
              <w:br/>
              <w:t>O valor de referencia não se aplica a UGRHI nem ao município, somente às praias.</w:t>
            </w: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val="restart"/>
            <w:tcBorders>
              <w:top w:val="single" w:sz="4" w:space="0" w:color="auto"/>
              <w:left w:val="single" w:sz="4" w:space="0" w:color="auto"/>
              <w:bottom w:val="single" w:sz="4" w:space="0" w:color="000000"/>
              <w:right w:val="single" w:sz="4" w:space="0" w:color="auto"/>
            </w:tcBorders>
            <w:shd w:val="clear" w:color="000000" w:fill="0080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PRÓPRIA </w:t>
            </w:r>
          </w:p>
        </w:tc>
        <w:tc>
          <w:tcPr>
            <w:tcW w:w="1712" w:type="dxa"/>
            <w:tcBorders>
              <w:top w:val="single" w:sz="4" w:space="0" w:color="auto"/>
              <w:left w:val="nil"/>
              <w:bottom w:val="nil"/>
              <w:right w:val="single" w:sz="4" w:space="0" w:color="auto"/>
            </w:tcBorders>
            <w:shd w:val="clear" w:color="000000" w:fill="3366FF"/>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ÓTIMA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single" w:sz="4" w:space="0" w:color="auto"/>
              <w:left w:val="single" w:sz="4" w:space="0" w:color="auto"/>
              <w:bottom w:val="single" w:sz="4" w:space="0" w:color="000000"/>
              <w:right w:val="single" w:sz="4" w:space="0" w:color="auto"/>
            </w:tcBorders>
            <w:vAlign w:val="center"/>
            <w:hideMark/>
          </w:tcPr>
          <w:p w:rsidR="00E87091" w:rsidRPr="00FB42AE" w:rsidRDefault="00E87091" w:rsidP="00E87091">
            <w:pPr>
              <w:rPr>
                <w:rFonts w:ascii="Arial" w:hAnsi="Arial" w:cs="Arial"/>
                <w:color w:val="FFFFFF"/>
                <w:sz w:val="16"/>
                <w:szCs w:val="16"/>
              </w:rPr>
            </w:pPr>
          </w:p>
        </w:tc>
        <w:tc>
          <w:tcPr>
            <w:tcW w:w="1712" w:type="dxa"/>
            <w:tcBorders>
              <w:top w:val="nil"/>
              <w:left w:val="nil"/>
              <w:bottom w:val="single" w:sz="4" w:space="0" w:color="auto"/>
              <w:right w:val="single" w:sz="4" w:space="0" w:color="auto"/>
            </w:tcBorders>
            <w:shd w:val="clear" w:color="000000" w:fill="0080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BOA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val="restart"/>
            <w:tcBorders>
              <w:top w:val="nil"/>
              <w:left w:val="single" w:sz="4" w:space="0" w:color="auto"/>
              <w:bottom w:val="single" w:sz="8" w:space="0" w:color="000000"/>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IMPRÓPRIA</w:t>
            </w:r>
          </w:p>
        </w:tc>
        <w:tc>
          <w:tcPr>
            <w:tcW w:w="1712" w:type="dxa"/>
            <w:tcBorders>
              <w:top w:val="nil"/>
              <w:left w:val="nil"/>
              <w:bottom w:val="nil"/>
              <w:right w:val="single" w:sz="4"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REGULAR</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nil"/>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1712" w:type="dxa"/>
            <w:tcBorders>
              <w:top w:val="nil"/>
              <w:left w:val="nil"/>
              <w:bottom w:val="nil"/>
              <w:right w:val="single" w:sz="4" w:space="0" w:color="auto"/>
            </w:tcBorders>
            <w:shd w:val="clear" w:color="000000" w:fill="FF99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RUIM</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402"/>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vMerge/>
            <w:tcBorders>
              <w:top w:val="nil"/>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1712" w:type="dxa"/>
            <w:tcBorders>
              <w:top w:val="nil"/>
              <w:left w:val="nil"/>
              <w:bottom w:val="single" w:sz="8" w:space="0" w:color="auto"/>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PÉSSIMA</w:t>
            </w:r>
          </w:p>
        </w:tc>
        <w:tc>
          <w:tcPr>
            <w:tcW w:w="4044" w:type="dxa"/>
            <w:vMerge/>
            <w:tcBorders>
              <w:top w:val="nil"/>
              <w:left w:val="single" w:sz="4" w:space="0" w:color="auto"/>
              <w:bottom w:val="single" w:sz="8" w:space="0" w:color="000000"/>
              <w:right w:val="single" w:sz="8" w:space="0" w:color="auto"/>
            </w:tcBorders>
            <w:vAlign w:val="center"/>
            <w:hideMark/>
          </w:tcPr>
          <w:p w:rsidR="00E87091" w:rsidRPr="00FB42AE" w:rsidRDefault="00E87091" w:rsidP="00E87091">
            <w:pPr>
              <w:rPr>
                <w:rFonts w:ascii="Arial" w:hAnsi="Arial" w:cs="Arial"/>
                <w:sz w:val="16"/>
                <w:szCs w:val="16"/>
              </w:rPr>
            </w:pPr>
          </w:p>
        </w:tc>
      </w:tr>
      <w:tr w:rsidR="00E87091" w:rsidRPr="00FB42AE" w:rsidTr="00E87091">
        <w:trPr>
          <w:trHeight w:val="1230"/>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 E.04-A- Disponibilidade </w:t>
            </w:r>
            <w:r w:rsidRPr="00FB42AE">
              <w:rPr>
                <w:rFonts w:ascii="Arial" w:hAnsi="Arial" w:cs="Arial"/>
                <w:i/>
                <w:iCs/>
                <w:sz w:val="16"/>
                <w:szCs w:val="16"/>
              </w:rPr>
              <w:t>per capita</w:t>
            </w:r>
            <w:r w:rsidRPr="00FB42AE">
              <w:rPr>
                <w:rFonts w:ascii="Arial" w:hAnsi="Arial" w:cs="Arial"/>
                <w:sz w:val="16"/>
                <w:szCs w:val="16"/>
              </w:rPr>
              <w:t xml:space="preserve"> - Qmédio em relação a população total: m</w:t>
            </w:r>
            <w:r w:rsidRPr="00FB42AE">
              <w:rPr>
                <w:rFonts w:ascii="Arial" w:hAnsi="Arial" w:cs="Arial"/>
                <w:sz w:val="16"/>
                <w:szCs w:val="16"/>
                <w:vertAlign w:val="superscript"/>
              </w:rPr>
              <w:t>3</w:t>
            </w:r>
            <w:r w:rsidRPr="00FB42AE">
              <w:rPr>
                <w:rFonts w:ascii="Arial" w:hAnsi="Arial" w:cs="Arial"/>
                <w:sz w:val="16"/>
                <w:szCs w:val="16"/>
              </w:rPr>
              <w:t>/hab.ano (DAEE / SEADE)</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Pr>
                <w:rFonts w:ascii="Arial" w:hAnsi="Arial" w:cs="Arial"/>
                <w:noProof/>
                <w:sz w:val="16"/>
                <w:szCs w:val="16"/>
              </w:rPr>
              <w:drawing>
                <wp:anchor distT="0" distB="0" distL="114300" distR="114300" simplePos="0" relativeHeight="251900416" behindDoc="0" locked="0" layoutInCell="1" allowOverlap="1">
                  <wp:simplePos x="0" y="0"/>
                  <wp:positionH relativeFrom="column">
                    <wp:posOffset>315595</wp:posOffset>
                  </wp:positionH>
                  <wp:positionV relativeFrom="paragraph">
                    <wp:posOffset>-131445</wp:posOffset>
                  </wp:positionV>
                  <wp:extent cx="2305050" cy="1752600"/>
                  <wp:effectExtent l="19050" t="0" r="0" b="0"/>
                  <wp:wrapNone/>
                  <wp:docPr id="21" name="Picture 55"/>
                  <wp:cNvGraphicFramePr/>
                  <a:graphic xmlns:a="http://schemas.openxmlformats.org/drawingml/2006/main">
                    <a:graphicData uri="http://schemas.openxmlformats.org/drawingml/2006/picture">
                      <pic:pic xmlns:pic="http://schemas.openxmlformats.org/drawingml/2006/picture">
                        <pic:nvPicPr>
                          <pic:cNvPr id="1082" name="Picture 55" descr="LEGENDA"/>
                          <pic:cNvPicPr>
                            <a:picLocks noChangeAspect="1" noChangeArrowheads="1"/>
                          </pic:cNvPicPr>
                        </pic:nvPicPr>
                        <pic:blipFill>
                          <a:blip r:embed="rId60" cstate="print"/>
                          <a:srcRect/>
                          <a:stretch>
                            <a:fillRect/>
                          </a:stretch>
                        </pic:blipFill>
                        <pic:spPr bwMode="auto">
                          <a:xfrm>
                            <a:off x="0" y="0"/>
                            <a:ext cx="2305050" cy="1752600"/>
                          </a:xfrm>
                          <a:prstGeom prst="rect">
                            <a:avLst/>
                          </a:prstGeom>
                          <a:noFill/>
                          <a:ln w="9525">
                            <a:noFill/>
                            <a:miter lim="800000"/>
                            <a:headEnd/>
                            <a:tailEnd/>
                          </a:ln>
                        </pic:spPr>
                      </pic:pic>
                    </a:graphicData>
                  </a:graphic>
                </wp:anchor>
              </w:drawing>
            </w: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&gt; 2500 m</w:t>
            </w:r>
            <w:r w:rsidRPr="00FB42AE">
              <w:rPr>
                <w:rFonts w:ascii="Arial" w:hAnsi="Arial" w:cs="Arial"/>
                <w:color w:val="FFFFFF"/>
                <w:sz w:val="16"/>
                <w:szCs w:val="16"/>
                <w:vertAlign w:val="superscript"/>
              </w:rPr>
              <w:t>3</w:t>
            </w:r>
            <w:r w:rsidRPr="00FB42AE">
              <w:rPr>
                <w:rFonts w:ascii="Arial" w:hAnsi="Arial" w:cs="Arial"/>
                <w:color w:val="FFFFFF"/>
                <w:sz w:val="16"/>
                <w:szCs w:val="16"/>
              </w:rPr>
              <w:t>/hab.ano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noWrap/>
            <w:vAlign w:val="bottom"/>
            <w:hideMark/>
          </w:tcPr>
          <w:p w:rsidR="00E87091" w:rsidRPr="00FB42AE" w:rsidRDefault="00E87091" w:rsidP="00E87091">
            <w:pPr>
              <w:rPr>
                <w:rFonts w:ascii="Arial" w:hAnsi="Arial" w:cs="Arial"/>
                <w:sz w:val="20"/>
                <w:szCs w:val="20"/>
              </w:rPr>
            </w:pPr>
          </w:p>
          <w:tbl>
            <w:tblPr>
              <w:tblW w:w="0" w:type="auto"/>
              <w:tblCellSpacing w:w="0" w:type="dxa"/>
              <w:tblCellMar>
                <w:left w:w="0" w:type="dxa"/>
                <w:right w:w="0" w:type="dxa"/>
              </w:tblCellMar>
              <w:tblLook w:val="04A0"/>
            </w:tblPr>
            <w:tblGrid>
              <w:gridCol w:w="2368"/>
            </w:tblGrid>
            <w:tr w:rsidR="00E87091" w:rsidRPr="00FB42AE" w:rsidTr="00E92D98">
              <w:trPr>
                <w:trHeight w:val="499"/>
                <w:tblCellSpacing w:w="0" w:type="dxa"/>
              </w:trPr>
              <w:tc>
                <w:tcPr>
                  <w:tcW w:w="2500" w:type="dxa"/>
                  <w:tcBorders>
                    <w:top w:val="nil"/>
                    <w:left w:val="nil"/>
                    <w:bottom w:val="nil"/>
                    <w:right w:val="nil"/>
                  </w:tcBorders>
                  <w:shd w:val="clear" w:color="auto" w:fill="auto"/>
                  <w:vAlign w:val="center"/>
                  <w:hideMark/>
                </w:tcPr>
                <w:p w:rsidR="00E87091" w:rsidRPr="00FB42AE" w:rsidRDefault="00E87091" w:rsidP="00DA1D50">
                  <w:pPr>
                    <w:framePr w:hSpace="141" w:wrap="around" w:vAnchor="text" w:hAnchor="margin" w:xAlign="right" w:y="-75"/>
                    <w:rPr>
                      <w:rFonts w:ascii="Arial" w:hAnsi="Arial" w:cs="Arial"/>
                      <w:sz w:val="16"/>
                      <w:szCs w:val="16"/>
                    </w:rPr>
                  </w:pPr>
                  <w:r w:rsidRPr="00FB42AE">
                    <w:rPr>
                      <w:rFonts w:ascii="Arial" w:hAnsi="Arial" w:cs="Arial"/>
                      <w:sz w:val="16"/>
                      <w:szCs w:val="16"/>
                    </w:rPr>
                    <w:t> </w:t>
                  </w:r>
                </w:p>
              </w:tc>
            </w:tr>
          </w:tbl>
          <w:p w:rsidR="00E87091" w:rsidRPr="00FB42AE" w:rsidRDefault="00E87091" w:rsidP="00E87091">
            <w:pPr>
              <w:rPr>
                <w:rFonts w:ascii="Arial" w:hAnsi="Arial" w:cs="Arial"/>
                <w:sz w:val="20"/>
                <w:szCs w:val="20"/>
              </w:rPr>
            </w:pP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entre 1500 e 2500 m</w:t>
            </w:r>
            <w:r w:rsidRPr="00FB42AE">
              <w:rPr>
                <w:rFonts w:ascii="Arial" w:hAnsi="Arial" w:cs="Arial"/>
                <w:sz w:val="16"/>
                <w:szCs w:val="16"/>
                <w:vertAlign w:val="superscript"/>
              </w:rPr>
              <w:t>3</w:t>
            </w:r>
            <w:r w:rsidRPr="00FB42AE">
              <w:rPr>
                <w:rFonts w:ascii="Arial" w:hAnsi="Arial" w:cs="Arial"/>
                <w:sz w:val="16"/>
                <w:szCs w:val="16"/>
              </w:rPr>
              <w:t>/hab.ano - ATENÇÃO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1500 m</w:t>
            </w:r>
            <w:r w:rsidRPr="00FB42AE">
              <w:rPr>
                <w:rFonts w:ascii="Arial" w:hAnsi="Arial" w:cs="Arial"/>
                <w:sz w:val="16"/>
                <w:szCs w:val="16"/>
                <w:vertAlign w:val="superscript"/>
              </w:rPr>
              <w:t>3</w:t>
            </w:r>
            <w:r w:rsidRPr="00FB42AE">
              <w:rPr>
                <w:rFonts w:ascii="Arial" w:hAnsi="Arial" w:cs="Arial"/>
                <w:sz w:val="16"/>
                <w:szCs w:val="16"/>
              </w:rPr>
              <w:t>/hab.ano - CRÍTICA</w:t>
            </w:r>
          </w:p>
        </w:tc>
      </w:tr>
      <w:tr w:rsidR="00E87091" w:rsidRPr="00FB42AE" w:rsidTr="00E87091">
        <w:trPr>
          <w:trHeight w:val="1290"/>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single" w:sz="8" w:space="0" w:color="auto"/>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single" w:sz="8" w:space="0" w:color="auto"/>
              <w:right w:val="single" w:sz="4" w:space="0" w:color="auto"/>
            </w:tcBorders>
            <w:shd w:val="clear" w:color="auto" w:fill="auto"/>
            <w:vAlign w:val="center"/>
            <w:hideMark/>
          </w:tcPr>
          <w:p w:rsidR="00E87091" w:rsidRPr="00FB42AE" w:rsidRDefault="00E87091" w:rsidP="00E87091">
            <w:pPr>
              <w:jc w:val="right"/>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8" w:space="0" w:color="auto"/>
              <w:right w:val="single" w:sz="8" w:space="0" w:color="auto"/>
            </w:tcBorders>
            <w:shd w:val="clear" w:color="auto" w:fill="auto"/>
            <w:noWrap/>
            <w:vAlign w:val="bottom"/>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r>
      <w:tr w:rsidR="00E87091" w:rsidRPr="00FB42AE" w:rsidTr="00E87091">
        <w:trPr>
          <w:trHeight w:val="1095"/>
        </w:trPr>
        <w:tc>
          <w:tcPr>
            <w:tcW w:w="1555" w:type="dxa"/>
            <w:tcBorders>
              <w:top w:val="nil"/>
              <w:left w:val="single" w:sz="8" w:space="0" w:color="auto"/>
              <w:bottom w:val="single" w:sz="8" w:space="0" w:color="auto"/>
              <w:right w:val="nil"/>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xml:space="preserve">E.05-A- Disponibilidade </w:t>
            </w:r>
            <w:r w:rsidRPr="00FB42AE">
              <w:rPr>
                <w:rFonts w:ascii="Arial" w:hAnsi="Arial" w:cs="Arial"/>
                <w:i/>
                <w:iCs/>
                <w:sz w:val="16"/>
                <w:szCs w:val="16"/>
              </w:rPr>
              <w:t>per capita</w:t>
            </w:r>
            <w:r w:rsidRPr="00FB42AE">
              <w:rPr>
                <w:rFonts w:ascii="Arial" w:hAnsi="Arial" w:cs="Arial"/>
                <w:sz w:val="16"/>
                <w:szCs w:val="16"/>
              </w:rPr>
              <w:t xml:space="preserve"> de água subterrânea: m</w:t>
            </w:r>
            <w:r w:rsidRPr="00FB42AE">
              <w:rPr>
                <w:rFonts w:ascii="Arial" w:hAnsi="Arial" w:cs="Arial"/>
                <w:sz w:val="16"/>
                <w:szCs w:val="16"/>
                <w:vertAlign w:val="superscript"/>
              </w:rPr>
              <w:t>3</w:t>
            </w:r>
            <w:r w:rsidRPr="00FB42AE">
              <w:rPr>
                <w:rFonts w:ascii="Arial" w:hAnsi="Arial" w:cs="Arial"/>
                <w:sz w:val="16"/>
                <w:szCs w:val="16"/>
              </w:rPr>
              <w:t>/hab.ano (DAEE / SEADE)</w:t>
            </w:r>
          </w:p>
        </w:tc>
        <w:tc>
          <w:tcPr>
            <w:tcW w:w="4220" w:type="dxa"/>
            <w:gridSpan w:val="2"/>
            <w:tcBorders>
              <w:top w:val="single" w:sz="8" w:space="0" w:color="auto"/>
              <w:left w:val="single" w:sz="4" w:space="0" w:color="auto"/>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675"/>
        </w:trPr>
        <w:tc>
          <w:tcPr>
            <w:tcW w:w="1555" w:type="dxa"/>
            <w:tcBorders>
              <w:top w:val="single" w:sz="8" w:space="0" w:color="auto"/>
            </w:tcBorders>
            <w:shd w:val="clear" w:color="000000" w:fill="auto"/>
            <w:vAlign w:val="center"/>
            <w:hideMark/>
          </w:tcPr>
          <w:p w:rsidR="00E87091" w:rsidRPr="00FB42AE" w:rsidRDefault="00E87091" w:rsidP="00E87091">
            <w:pPr>
              <w:rPr>
                <w:rFonts w:ascii="Arial" w:hAnsi="Arial" w:cs="Arial"/>
                <w:sz w:val="16"/>
                <w:szCs w:val="16"/>
              </w:rPr>
            </w:pPr>
          </w:p>
        </w:tc>
        <w:tc>
          <w:tcPr>
            <w:tcW w:w="4220" w:type="dxa"/>
            <w:gridSpan w:val="2"/>
            <w:tcBorders>
              <w:top w:val="single" w:sz="8" w:space="0" w:color="auto"/>
            </w:tcBorders>
            <w:shd w:val="clear" w:color="auto" w:fill="auto"/>
            <w:noWrap/>
            <w:vAlign w:val="bottom"/>
            <w:hideMark/>
          </w:tcPr>
          <w:p w:rsidR="00E87091" w:rsidRPr="00FB42AE" w:rsidRDefault="00E87091" w:rsidP="00E87091">
            <w:pPr>
              <w:rPr>
                <w:rFonts w:ascii="Arial" w:hAnsi="Arial" w:cs="Arial"/>
                <w:sz w:val="20"/>
                <w:szCs w:val="20"/>
              </w:rPr>
            </w:pPr>
          </w:p>
        </w:tc>
        <w:tc>
          <w:tcPr>
            <w:tcW w:w="4044" w:type="dxa"/>
            <w:tcBorders>
              <w:top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75"/>
        </w:trPr>
        <w:tc>
          <w:tcPr>
            <w:tcW w:w="1555" w:type="dxa"/>
            <w:shd w:val="clear" w:color="000000" w:fill="auto"/>
            <w:vAlign w:val="center"/>
            <w:hideMark/>
          </w:tcPr>
          <w:p w:rsidR="00E87091" w:rsidRPr="00FB42AE" w:rsidRDefault="00E87091" w:rsidP="00E87091">
            <w:pPr>
              <w:rPr>
                <w:rFonts w:ascii="Arial" w:hAnsi="Arial" w:cs="Arial"/>
                <w:sz w:val="16"/>
                <w:szCs w:val="16"/>
              </w:rPr>
            </w:pPr>
          </w:p>
        </w:tc>
        <w:tc>
          <w:tcPr>
            <w:tcW w:w="4220" w:type="dxa"/>
            <w:gridSpan w:val="2"/>
            <w:shd w:val="clear" w:color="auto" w:fill="auto"/>
            <w:noWrap/>
            <w:vAlign w:val="bottom"/>
            <w:hideMark/>
          </w:tcPr>
          <w:p w:rsidR="00E87091" w:rsidRPr="00FB42AE" w:rsidRDefault="00E87091" w:rsidP="00E87091">
            <w:pPr>
              <w:rPr>
                <w:rFonts w:ascii="Arial" w:hAnsi="Arial" w:cs="Arial"/>
                <w:sz w:val="20"/>
                <w:szCs w:val="20"/>
              </w:rPr>
            </w:pPr>
          </w:p>
        </w:tc>
        <w:tc>
          <w:tcPr>
            <w:tcW w:w="4044" w:type="dxa"/>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75"/>
        </w:trPr>
        <w:tc>
          <w:tcPr>
            <w:tcW w:w="1555" w:type="dxa"/>
            <w:shd w:val="clear" w:color="000000" w:fill="auto"/>
            <w:vAlign w:val="center"/>
            <w:hideMark/>
          </w:tcPr>
          <w:p w:rsidR="00E87091" w:rsidRPr="00FB42AE" w:rsidRDefault="00E87091" w:rsidP="00E87091">
            <w:pPr>
              <w:rPr>
                <w:rFonts w:ascii="Arial" w:hAnsi="Arial" w:cs="Arial"/>
                <w:sz w:val="16"/>
                <w:szCs w:val="16"/>
              </w:rPr>
            </w:pPr>
          </w:p>
        </w:tc>
        <w:tc>
          <w:tcPr>
            <w:tcW w:w="4220" w:type="dxa"/>
            <w:gridSpan w:val="2"/>
            <w:shd w:val="clear" w:color="auto" w:fill="auto"/>
            <w:noWrap/>
            <w:vAlign w:val="bottom"/>
            <w:hideMark/>
          </w:tcPr>
          <w:p w:rsidR="00E87091" w:rsidRPr="00FB42AE" w:rsidRDefault="00E87091" w:rsidP="00E87091">
            <w:pPr>
              <w:rPr>
                <w:rFonts w:ascii="Arial" w:hAnsi="Arial" w:cs="Arial"/>
                <w:sz w:val="20"/>
                <w:szCs w:val="20"/>
              </w:rPr>
            </w:pPr>
          </w:p>
        </w:tc>
        <w:tc>
          <w:tcPr>
            <w:tcW w:w="4044" w:type="dxa"/>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75"/>
        </w:trPr>
        <w:tc>
          <w:tcPr>
            <w:tcW w:w="1555" w:type="dxa"/>
            <w:tcBorders>
              <w:bottom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tcBorders>
              <w:bottom w:val="single" w:sz="8" w:space="0" w:color="auto"/>
            </w:tcBorders>
            <w:shd w:val="clear" w:color="auto" w:fill="auto"/>
            <w:noWrap/>
            <w:vAlign w:val="bottom"/>
            <w:hideMark/>
          </w:tcPr>
          <w:p w:rsidR="00E87091" w:rsidRPr="00FB42AE" w:rsidRDefault="00E87091" w:rsidP="00E87091">
            <w:pPr>
              <w:rPr>
                <w:rFonts w:ascii="Arial" w:hAnsi="Arial" w:cs="Arial"/>
                <w:sz w:val="20"/>
                <w:szCs w:val="20"/>
              </w:rPr>
            </w:pPr>
          </w:p>
        </w:tc>
        <w:tc>
          <w:tcPr>
            <w:tcW w:w="4044" w:type="dxa"/>
            <w:tcBorders>
              <w:bottom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75"/>
        </w:trPr>
        <w:tc>
          <w:tcPr>
            <w:tcW w:w="1555"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E.06-A- Índice de atendimento de água: % (SNIS)</w:t>
            </w:r>
          </w:p>
        </w:tc>
        <w:tc>
          <w:tcPr>
            <w:tcW w:w="4220" w:type="dxa"/>
            <w:gridSpan w:val="2"/>
            <w:tcBorders>
              <w:top w:val="single" w:sz="8" w:space="0" w:color="auto"/>
              <w:left w:val="nil"/>
              <w:bottom w:val="nil"/>
              <w:right w:val="single" w:sz="4" w:space="0" w:color="000000"/>
            </w:tcBorders>
            <w:shd w:val="clear" w:color="auto" w:fill="auto"/>
            <w:noWrap/>
            <w:vAlign w:val="bottom"/>
            <w:hideMark/>
          </w:tcPr>
          <w:p w:rsidR="00E87091" w:rsidRPr="00FB42AE" w:rsidRDefault="00E87091" w:rsidP="00E87091">
            <w:pPr>
              <w:rPr>
                <w:rFonts w:ascii="Arial" w:hAnsi="Arial" w:cs="Arial"/>
                <w:sz w:val="20"/>
                <w:szCs w:val="20"/>
              </w:rPr>
            </w:pPr>
          </w:p>
          <w:tbl>
            <w:tblPr>
              <w:tblW w:w="0" w:type="auto"/>
              <w:tblCellSpacing w:w="0" w:type="dxa"/>
              <w:tblCellMar>
                <w:left w:w="0" w:type="dxa"/>
                <w:right w:w="0" w:type="dxa"/>
              </w:tblCellMar>
              <w:tblLook w:val="04A0"/>
            </w:tblPr>
            <w:tblGrid>
              <w:gridCol w:w="4080"/>
            </w:tblGrid>
            <w:tr w:rsidR="00E87091" w:rsidRPr="00FB42AE" w:rsidTr="00E92D98">
              <w:trPr>
                <w:trHeight w:val="675"/>
                <w:tblCellSpacing w:w="0" w:type="dxa"/>
              </w:trPr>
              <w:tc>
                <w:tcPr>
                  <w:tcW w:w="4220" w:type="dxa"/>
                  <w:shd w:val="clear" w:color="auto" w:fill="auto"/>
                  <w:vAlign w:val="center"/>
                  <w:hideMark/>
                </w:tcPr>
                <w:p w:rsidR="00E87091" w:rsidRPr="00FB42AE" w:rsidRDefault="00E87091" w:rsidP="00DA1D50">
                  <w:pPr>
                    <w:framePr w:hSpace="141" w:wrap="around" w:vAnchor="text" w:hAnchor="margin" w:xAlign="right" w:y="-75"/>
                    <w:rPr>
                      <w:rFonts w:ascii="Arial" w:hAnsi="Arial" w:cs="Arial"/>
                      <w:sz w:val="16"/>
                      <w:szCs w:val="16"/>
                    </w:rPr>
                  </w:pPr>
                  <w:r w:rsidRPr="00FB42AE">
                    <w:rPr>
                      <w:rFonts w:ascii="Arial" w:hAnsi="Arial" w:cs="Arial"/>
                      <w:sz w:val="16"/>
                      <w:szCs w:val="16"/>
                    </w:rPr>
                    <w:t>Valor de referência para o município:</w:t>
                  </w:r>
                </w:p>
              </w:tc>
            </w:tr>
          </w:tbl>
          <w:p w:rsidR="00E87091" w:rsidRPr="00FB42AE" w:rsidRDefault="00E87091" w:rsidP="00E87091">
            <w:pPr>
              <w:rPr>
                <w:rFonts w:ascii="Arial" w:hAnsi="Arial" w:cs="Arial"/>
                <w:sz w:val="20"/>
                <w:szCs w:val="20"/>
              </w:rPr>
            </w:pPr>
          </w:p>
        </w:tc>
        <w:tc>
          <w:tcPr>
            <w:tcW w:w="4044" w:type="dxa"/>
            <w:tcBorders>
              <w:top w:val="single" w:sz="8"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Pr>
                <w:rFonts w:ascii="Arial" w:hAnsi="Arial" w:cs="Arial"/>
                <w:noProof/>
                <w:sz w:val="16"/>
                <w:szCs w:val="16"/>
              </w:rPr>
              <w:drawing>
                <wp:anchor distT="0" distB="0" distL="114300" distR="114300" simplePos="0" relativeHeight="251901440" behindDoc="0" locked="0" layoutInCell="1" allowOverlap="1">
                  <wp:simplePos x="0" y="0"/>
                  <wp:positionH relativeFrom="column">
                    <wp:posOffset>315595</wp:posOffset>
                  </wp:positionH>
                  <wp:positionV relativeFrom="paragraph">
                    <wp:posOffset>1905</wp:posOffset>
                  </wp:positionV>
                  <wp:extent cx="2068830" cy="1676400"/>
                  <wp:effectExtent l="19050" t="0" r="7620" b="0"/>
                  <wp:wrapNone/>
                  <wp:docPr id="22" name="Picture 56"/>
                  <wp:cNvGraphicFramePr/>
                  <a:graphic xmlns:a="http://schemas.openxmlformats.org/drawingml/2006/main">
                    <a:graphicData uri="http://schemas.openxmlformats.org/drawingml/2006/picture">
                      <pic:pic xmlns:pic="http://schemas.openxmlformats.org/drawingml/2006/picture">
                        <pic:nvPicPr>
                          <pic:cNvPr id="1083" name="Picture 56"/>
                          <pic:cNvPicPr>
                            <a:picLocks noChangeAspect="1" noChangeArrowheads="1"/>
                          </pic:cNvPicPr>
                        </pic:nvPicPr>
                        <pic:blipFill>
                          <a:blip r:embed="rId61" cstate="print"/>
                          <a:srcRect/>
                          <a:stretch>
                            <a:fillRect/>
                          </a:stretch>
                        </pic:blipFill>
                        <pic:spPr bwMode="auto">
                          <a:xfrm>
                            <a:off x="0" y="0"/>
                            <a:ext cx="2068830" cy="1676400"/>
                          </a:xfrm>
                          <a:prstGeom prst="rect">
                            <a:avLst/>
                          </a:prstGeom>
                          <a:noFill/>
                          <a:ln w="9525">
                            <a:noFill/>
                            <a:miter lim="800000"/>
                            <a:headEnd/>
                            <a:tailEnd/>
                          </a:ln>
                        </pic:spPr>
                      </pic:pic>
                    </a:graphicData>
                  </a:graphic>
                </wp:anchor>
              </w:drawing>
            </w: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50% - RUIM</w:t>
            </w:r>
          </w:p>
        </w:tc>
      </w:tr>
      <w:tr w:rsidR="00E87091" w:rsidRPr="00FB42AE" w:rsidTr="00E87091">
        <w:trPr>
          <w:trHeight w:val="600"/>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nil"/>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nil"/>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Sem dados</w:t>
            </w:r>
          </w:p>
        </w:tc>
      </w:tr>
      <w:tr w:rsidR="00E87091" w:rsidRPr="00FB42AE" w:rsidTr="00E87091">
        <w:trPr>
          <w:trHeight w:val="600"/>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2508" w:type="dxa"/>
            <w:tcBorders>
              <w:top w:val="nil"/>
              <w:left w:val="nil"/>
              <w:bottom w:val="single" w:sz="8" w:space="0" w:color="auto"/>
              <w:right w:val="nil"/>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c>
          <w:tcPr>
            <w:tcW w:w="1712" w:type="dxa"/>
            <w:tcBorders>
              <w:top w:val="nil"/>
              <w:left w:val="nil"/>
              <w:bottom w:val="single" w:sz="8" w:space="0" w:color="auto"/>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c>
          <w:tcPr>
            <w:tcW w:w="4044" w:type="dxa"/>
            <w:tcBorders>
              <w:top w:val="nil"/>
              <w:left w:val="nil"/>
              <w:bottom w:val="single" w:sz="8" w:space="0" w:color="auto"/>
              <w:right w:val="single" w:sz="8" w:space="0" w:color="auto"/>
            </w:tcBorders>
            <w:shd w:val="clear" w:color="auto" w:fill="auto"/>
            <w:noWrap/>
            <w:vAlign w:val="bottom"/>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r>
      <w:tr w:rsidR="00E87091" w:rsidRPr="00FB42AE" w:rsidTr="00E87091">
        <w:trPr>
          <w:trHeight w:val="402"/>
        </w:trPr>
        <w:tc>
          <w:tcPr>
            <w:tcW w:w="1555" w:type="dxa"/>
            <w:vMerge w:val="restart"/>
            <w:tcBorders>
              <w:top w:val="nil"/>
              <w:left w:val="single" w:sz="4" w:space="0" w:color="auto"/>
              <w:bottom w:val="single" w:sz="8" w:space="0" w:color="000000"/>
              <w:right w:val="nil"/>
            </w:tcBorders>
            <w:shd w:val="clear" w:color="000000" w:fill="FFFF99"/>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E.06 - D - Índice de perdas do sistema de distribuição de água: % (SNIS)</w:t>
            </w:r>
          </w:p>
        </w:tc>
        <w:tc>
          <w:tcPr>
            <w:tcW w:w="4220"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r>
      <w:tr w:rsidR="00E87091" w:rsidRPr="00FB42AE" w:rsidTr="00E87091">
        <w:trPr>
          <w:trHeight w:val="402"/>
        </w:trPr>
        <w:tc>
          <w:tcPr>
            <w:tcW w:w="1555" w:type="dxa"/>
            <w:vMerge/>
            <w:tcBorders>
              <w:top w:val="nil"/>
              <w:left w:val="single" w:sz="4" w:space="0" w:color="auto"/>
              <w:bottom w:val="single" w:sz="8" w:space="0" w:color="000000"/>
              <w:right w:val="nil"/>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10% - BOM</w:t>
            </w:r>
          </w:p>
        </w:tc>
      </w:tr>
      <w:tr w:rsidR="00E87091" w:rsidRPr="00FB42AE" w:rsidTr="00E87091">
        <w:trPr>
          <w:trHeight w:val="402"/>
        </w:trPr>
        <w:tc>
          <w:tcPr>
            <w:tcW w:w="1555" w:type="dxa"/>
            <w:vMerge/>
            <w:tcBorders>
              <w:top w:val="nil"/>
              <w:left w:val="single" w:sz="4" w:space="0" w:color="auto"/>
              <w:bottom w:val="single" w:sz="8" w:space="0" w:color="000000"/>
              <w:right w:val="nil"/>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&gt; 10 e &lt; 50% - REGULAR</w:t>
            </w:r>
          </w:p>
        </w:tc>
      </w:tr>
      <w:tr w:rsidR="00E87091" w:rsidRPr="00FB42AE" w:rsidTr="00E87091">
        <w:trPr>
          <w:trHeight w:val="402"/>
        </w:trPr>
        <w:tc>
          <w:tcPr>
            <w:tcW w:w="1555" w:type="dxa"/>
            <w:vMerge/>
            <w:tcBorders>
              <w:top w:val="nil"/>
              <w:left w:val="single" w:sz="4" w:space="0" w:color="auto"/>
              <w:bottom w:val="single" w:sz="8" w:space="0" w:color="000000"/>
              <w:right w:val="nil"/>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50% - RUIM</w:t>
            </w:r>
          </w:p>
        </w:tc>
      </w:tr>
      <w:tr w:rsidR="00E87091" w:rsidRPr="00FB42AE" w:rsidTr="00E87091">
        <w:trPr>
          <w:trHeight w:val="402"/>
        </w:trPr>
        <w:tc>
          <w:tcPr>
            <w:tcW w:w="1555" w:type="dxa"/>
            <w:vMerge/>
            <w:tcBorders>
              <w:top w:val="nil"/>
              <w:left w:val="single" w:sz="4" w:space="0" w:color="auto"/>
              <w:bottom w:val="single" w:sz="8" w:space="0" w:color="000000"/>
              <w:right w:val="nil"/>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Sem dados</w:t>
            </w:r>
          </w:p>
        </w:tc>
      </w:tr>
      <w:tr w:rsidR="00E87091" w:rsidRPr="00FB42AE" w:rsidTr="00E87091">
        <w:trPr>
          <w:trHeight w:val="402"/>
        </w:trPr>
        <w:tc>
          <w:tcPr>
            <w:tcW w:w="1555" w:type="dxa"/>
            <w:vMerge/>
            <w:tcBorders>
              <w:top w:val="nil"/>
              <w:left w:val="single" w:sz="4" w:space="0" w:color="auto"/>
              <w:bottom w:val="single" w:sz="8" w:space="0" w:color="000000"/>
              <w:right w:val="nil"/>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nil"/>
              <w:right w:val="single" w:sz="8" w:space="0" w:color="auto"/>
            </w:tcBorders>
            <w:shd w:val="clear" w:color="auto" w:fill="auto"/>
            <w:noWrap/>
            <w:vAlign w:val="bottom"/>
            <w:hideMark/>
          </w:tcPr>
          <w:p w:rsidR="00E87091" w:rsidRPr="00FB42AE" w:rsidRDefault="00E87091" w:rsidP="00E87091">
            <w:pPr>
              <w:rPr>
                <w:rFonts w:ascii="Arial" w:hAnsi="Arial" w:cs="Arial"/>
                <w:sz w:val="16"/>
                <w:szCs w:val="16"/>
              </w:rPr>
            </w:pPr>
            <w:r w:rsidRPr="00FB42AE">
              <w:rPr>
                <w:rFonts w:ascii="Arial" w:hAnsi="Arial" w:cs="Arial"/>
                <w:sz w:val="16"/>
                <w:szCs w:val="16"/>
              </w:rPr>
              <w:t> </w:t>
            </w:r>
          </w:p>
        </w:tc>
      </w:tr>
      <w:tr w:rsidR="00E87091" w:rsidRPr="00FB42AE" w:rsidTr="00E87091">
        <w:trPr>
          <w:trHeight w:val="600"/>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E.07-A- Demanda total (superficial e subterrânea) em relação à Disponibilidade (Q</w:t>
            </w:r>
            <w:r w:rsidRPr="00FB42AE">
              <w:rPr>
                <w:rFonts w:ascii="Arial" w:hAnsi="Arial" w:cs="Arial"/>
                <w:sz w:val="16"/>
                <w:szCs w:val="16"/>
                <w:vertAlign w:val="subscript"/>
              </w:rPr>
              <w:t>95%</w:t>
            </w:r>
            <w:r w:rsidRPr="00FB42AE">
              <w:rPr>
                <w:rFonts w:ascii="Arial" w:hAnsi="Arial" w:cs="Arial"/>
                <w:sz w:val="16"/>
                <w:szCs w:val="16"/>
              </w:rPr>
              <w:t>): % (DAEE)</w:t>
            </w:r>
          </w:p>
        </w:tc>
        <w:tc>
          <w:tcPr>
            <w:tcW w:w="4220" w:type="dxa"/>
            <w:gridSpan w:val="2"/>
            <w:tcBorders>
              <w:top w:val="single" w:sz="8" w:space="0" w:color="auto"/>
              <w:left w:val="nil"/>
              <w:bottom w:val="single" w:sz="4" w:space="0" w:color="auto"/>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c>
          <w:tcPr>
            <w:tcW w:w="4044" w:type="dxa"/>
            <w:tcBorders>
              <w:top w:val="single" w:sz="8"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00CC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5% - Excelente</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&lt; 30%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CCFF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 a 10% - Confortável</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30% a 50% - ATENÇÃO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CC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 a 20% - Preocupante</w:t>
            </w: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&gt; 50% - CRÍTICO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20% a 40% - Crítica</w:t>
            </w:r>
          </w:p>
        </w:tc>
        <w:tc>
          <w:tcPr>
            <w:tcW w:w="4044" w:type="dxa"/>
            <w:tcBorders>
              <w:top w:val="nil"/>
              <w:left w:val="nil"/>
              <w:bottom w:val="nil"/>
              <w:right w:val="single" w:sz="8" w:space="0" w:color="auto"/>
            </w:tcBorders>
            <w:shd w:val="clear" w:color="auto" w:fill="auto"/>
            <w:vAlign w:val="center"/>
            <w:hideMark/>
          </w:tcPr>
          <w:p w:rsidR="00E87091" w:rsidRPr="00FB42AE" w:rsidRDefault="00E87091" w:rsidP="00E87091">
            <w:pPr>
              <w:jc w:val="center"/>
              <w:rPr>
                <w:rFonts w:ascii="Arial" w:hAnsi="Arial" w:cs="Arial"/>
                <w:b/>
                <w:bCs/>
                <w:sz w:val="16"/>
                <w:szCs w:val="16"/>
              </w:rPr>
            </w:pPr>
            <w:r w:rsidRPr="00FB42AE">
              <w:rPr>
                <w:rFonts w:ascii="Arial" w:hAnsi="Arial" w:cs="Arial"/>
                <w:b/>
                <w:bCs/>
                <w:sz w:val="16"/>
                <w:szCs w:val="16"/>
              </w:rPr>
              <w:t> </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9933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&gt; 40% - Muito crítica</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b/>
                <w:bCs/>
                <w:sz w:val="16"/>
                <w:szCs w:val="16"/>
              </w:rPr>
            </w:pPr>
            <w:r w:rsidRPr="00FB42AE">
              <w:rPr>
                <w:rFonts w:ascii="Arial" w:hAnsi="Arial" w:cs="Arial"/>
                <w:b/>
                <w:bCs/>
                <w:sz w:val="16"/>
                <w:szCs w:val="16"/>
              </w:rPr>
              <w:t> </w:t>
            </w:r>
          </w:p>
        </w:tc>
      </w:tr>
      <w:tr w:rsidR="00E87091" w:rsidRPr="00FB42AE" w:rsidTr="00E87091">
        <w:trPr>
          <w:trHeight w:val="600"/>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E.07-B- Demanda total (superficial e subterrânea) em relação à  Disponibilidade (Qmédio): % (DAEE)</w:t>
            </w:r>
          </w:p>
        </w:tc>
        <w:tc>
          <w:tcPr>
            <w:tcW w:w="4220" w:type="dxa"/>
            <w:gridSpan w:val="2"/>
            <w:tcBorders>
              <w:top w:val="single" w:sz="8" w:space="0" w:color="auto"/>
              <w:left w:val="nil"/>
              <w:bottom w:val="single" w:sz="4"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00CC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5% - Excelente</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&lt; 10%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CCFFFF"/>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 a 10% - Confortável</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 a 20% - ATENÇÃO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CC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10% a 20% - Preocupante</w:t>
            </w: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&gt; 20% - CRÍTICO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20% a 40% - Crítica</w:t>
            </w:r>
          </w:p>
        </w:tc>
        <w:tc>
          <w:tcPr>
            <w:tcW w:w="4044" w:type="dxa"/>
            <w:tcBorders>
              <w:top w:val="nil"/>
              <w:left w:val="nil"/>
              <w:bottom w:val="nil"/>
              <w:right w:val="single" w:sz="8" w:space="0" w:color="auto"/>
            </w:tcBorders>
            <w:shd w:val="clear" w:color="auto" w:fill="auto"/>
            <w:vAlign w:val="center"/>
            <w:hideMark/>
          </w:tcPr>
          <w:p w:rsidR="00E87091" w:rsidRPr="00FB42AE" w:rsidRDefault="00E87091" w:rsidP="00E87091">
            <w:pPr>
              <w:jc w:val="both"/>
              <w:rPr>
                <w:rFonts w:ascii="Arial" w:hAnsi="Arial" w:cs="Arial"/>
                <w:sz w:val="16"/>
                <w:szCs w:val="16"/>
              </w:rPr>
            </w:pPr>
            <w:r w:rsidRPr="00FB42AE">
              <w:rPr>
                <w:rFonts w:ascii="Arial" w:hAnsi="Arial" w:cs="Arial"/>
                <w:sz w:val="16"/>
                <w:szCs w:val="16"/>
              </w:rPr>
              <w:t> </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993300"/>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&gt; 40% - Muito crítica</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both"/>
              <w:rPr>
                <w:rFonts w:ascii="Arial" w:hAnsi="Arial" w:cs="Arial"/>
                <w:sz w:val="16"/>
                <w:szCs w:val="16"/>
              </w:rPr>
            </w:pPr>
            <w:r w:rsidRPr="00FB42AE">
              <w:rPr>
                <w:rFonts w:ascii="Arial" w:hAnsi="Arial" w:cs="Arial"/>
                <w:sz w:val="16"/>
                <w:szCs w:val="16"/>
              </w:rPr>
              <w:t> </w:t>
            </w:r>
          </w:p>
        </w:tc>
      </w:tr>
      <w:tr w:rsidR="00E87091" w:rsidRPr="00FB42AE" w:rsidTr="00E87091">
        <w:trPr>
          <w:trHeight w:val="720"/>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E.07-C- Demanda superficial em relação à vazão mínima superifcial (Q</w:t>
            </w:r>
            <w:r w:rsidRPr="00FB42AE">
              <w:rPr>
                <w:rFonts w:ascii="Arial" w:hAnsi="Arial" w:cs="Arial"/>
                <w:sz w:val="16"/>
                <w:szCs w:val="16"/>
                <w:vertAlign w:val="subscript"/>
              </w:rPr>
              <w:t>7,10</w:t>
            </w:r>
            <w:r w:rsidRPr="00FB42AE">
              <w:rPr>
                <w:rFonts w:ascii="Arial" w:hAnsi="Arial" w:cs="Arial"/>
                <w:sz w:val="16"/>
                <w:szCs w:val="16"/>
              </w:rPr>
              <w:t>): % (DAEE)</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&lt; 30%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30% a 50% - ATENÇÃO</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&gt; 50% - CRÍTICO</w:t>
            </w:r>
          </w:p>
        </w:tc>
      </w:tr>
      <w:tr w:rsidR="00E87091" w:rsidRPr="00FB42AE" w:rsidTr="00E87091">
        <w:trPr>
          <w:trHeight w:val="795"/>
        </w:trPr>
        <w:tc>
          <w:tcPr>
            <w:tcW w:w="1555" w:type="dxa"/>
            <w:vMerge w:val="restart"/>
            <w:tcBorders>
              <w:top w:val="nil"/>
              <w:left w:val="single" w:sz="8" w:space="0" w:color="auto"/>
              <w:bottom w:val="single" w:sz="4"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E.07-D- Demanda subterrânea em relação às reservas explotáveis: % (DAEE)</w:t>
            </w:r>
          </w:p>
        </w:tc>
        <w:tc>
          <w:tcPr>
            <w:tcW w:w="4220" w:type="dxa"/>
            <w:gridSpan w:val="2"/>
            <w:vMerge w:val="restart"/>
            <w:tcBorders>
              <w:top w:val="single" w:sz="8" w:space="0" w:color="auto"/>
              <w:left w:val="single" w:sz="4" w:space="0" w:color="auto"/>
              <w:bottom w:val="nil"/>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nil"/>
              <w:left w:val="single" w:sz="8" w:space="0" w:color="auto"/>
              <w:bottom w:val="single" w:sz="4" w:space="0" w:color="auto"/>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nil"/>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&lt; 30% - BOM</w:t>
            </w:r>
          </w:p>
        </w:tc>
      </w:tr>
      <w:tr w:rsidR="00E87091" w:rsidRPr="00FB42AE" w:rsidTr="00E87091">
        <w:trPr>
          <w:trHeight w:val="499"/>
        </w:trPr>
        <w:tc>
          <w:tcPr>
            <w:tcW w:w="1555" w:type="dxa"/>
            <w:vMerge/>
            <w:tcBorders>
              <w:top w:val="nil"/>
              <w:left w:val="single" w:sz="8" w:space="0" w:color="auto"/>
              <w:bottom w:val="single" w:sz="4" w:space="0" w:color="auto"/>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nil"/>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30% a 50% - ATENÇÃO</w:t>
            </w:r>
          </w:p>
        </w:tc>
      </w:tr>
      <w:tr w:rsidR="00E87091" w:rsidRPr="00FB42AE" w:rsidTr="00E87091">
        <w:trPr>
          <w:trHeight w:val="499"/>
        </w:trPr>
        <w:tc>
          <w:tcPr>
            <w:tcW w:w="1555" w:type="dxa"/>
            <w:vMerge/>
            <w:tcBorders>
              <w:top w:val="nil"/>
              <w:left w:val="single" w:sz="8" w:space="0" w:color="auto"/>
              <w:bottom w:val="single" w:sz="4" w:space="0" w:color="auto"/>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nil"/>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nil"/>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&gt; 50% - CRÍTICO</w:t>
            </w:r>
          </w:p>
        </w:tc>
      </w:tr>
      <w:tr w:rsidR="00E87091" w:rsidRPr="00FB42AE" w:rsidTr="00E87091">
        <w:trPr>
          <w:trHeight w:val="1020"/>
        </w:trPr>
        <w:tc>
          <w:tcPr>
            <w:tcW w:w="155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E.08-A - Ocorrência de enchente ou de inundação: nº de ocorrências/período (Defesa Civil de São Paulo)</w:t>
            </w:r>
          </w:p>
        </w:tc>
        <w:tc>
          <w:tcPr>
            <w:tcW w:w="4220" w:type="dxa"/>
            <w:gridSpan w:val="2"/>
            <w:tcBorders>
              <w:top w:val="single" w:sz="8" w:space="0" w:color="auto"/>
              <w:left w:val="nil"/>
              <w:bottom w:val="single" w:sz="8" w:space="0" w:color="auto"/>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05"/>
        </w:trPr>
        <w:tc>
          <w:tcPr>
            <w:tcW w:w="1555" w:type="dxa"/>
            <w:tcBorders>
              <w:top w:val="nil"/>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I.01-B - Incidência de esquistossomose autóctone: n° de casos/100 mil hab.ano (CVE)</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nil"/>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600"/>
        </w:trPr>
        <w:tc>
          <w:tcPr>
            <w:tcW w:w="1555"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R.01-A - Cobertura do sistema de coleta de resíduos sólidos: % (SEADE)</w:t>
            </w:r>
          </w:p>
        </w:tc>
        <w:tc>
          <w:tcPr>
            <w:tcW w:w="4220"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50% - RUIM</w:t>
            </w:r>
          </w:p>
        </w:tc>
      </w:tr>
      <w:tr w:rsidR="00E87091" w:rsidRPr="00FB42AE" w:rsidTr="00E87091">
        <w:trPr>
          <w:trHeight w:val="499"/>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R.01-B- Proporção de resíduo sólido domiciliar disposto em aterro enquadrado como ADEQUADO: % (CETESB)</w:t>
            </w:r>
          </w:p>
        </w:tc>
        <w:tc>
          <w:tcPr>
            <w:tcW w:w="4220" w:type="dxa"/>
            <w:gridSpan w:val="2"/>
            <w:vMerge w:val="restart"/>
            <w:tcBorders>
              <w:top w:val="nil"/>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nil"/>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495"/>
        </w:trPr>
        <w:tc>
          <w:tcPr>
            <w:tcW w:w="1555" w:type="dxa"/>
            <w:vMerge w:val="restart"/>
            <w:tcBorders>
              <w:top w:val="nil"/>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R.01-C- IQR da instalação de destinação final de resíduos sólidos domiciliar: 0 a 10  (CETESB)</w:t>
            </w:r>
          </w:p>
        </w:tc>
        <w:tc>
          <w:tcPr>
            <w:tcW w:w="4220" w:type="dxa"/>
            <w:gridSpan w:val="2"/>
            <w:tcBorders>
              <w:top w:val="single" w:sz="8" w:space="0" w:color="auto"/>
              <w:left w:val="nil"/>
              <w:bottom w:val="single" w:sz="4" w:space="0" w:color="auto"/>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c>
          <w:tcPr>
            <w:tcW w:w="4044" w:type="dxa"/>
            <w:tcBorders>
              <w:top w:val="nil"/>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0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0 &lt; IQR &lt; 6,0     INADEQUADO</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6,1 &lt; IQR &lt;  8,0     CONTROLADO</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nil"/>
              <w:left w:val="single" w:sz="8" w:space="0" w:color="auto"/>
              <w:bottom w:val="single" w:sz="8" w:space="0" w:color="auto"/>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8,1 &lt; IQR &lt; 10,0     ADEQUADO</w:t>
            </w: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600"/>
        </w:trPr>
        <w:tc>
          <w:tcPr>
            <w:tcW w:w="1555" w:type="dxa"/>
            <w:tcBorders>
              <w:top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tcBorders>
              <w:top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p>
        </w:tc>
        <w:tc>
          <w:tcPr>
            <w:tcW w:w="4044" w:type="dxa"/>
            <w:tcBorders>
              <w:top w:val="single" w:sz="8" w:space="0" w:color="auto"/>
            </w:tcBorders>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00"/>
        </w:trPr>
        <w:tc>
          <w:tcPr>
            <w:tcW w:w="1555" w:type="dxa"/>
            <w:tcBorders>
              <w:bottom w:val="single" w:sz="4" w:space="0" w:color="auto"/>
            </w:tcBorders>
            <w:shd w:val="clear" w:color="auto" w:fill="auto"/>
            <w:vAlign w:val="center"/>
            <w:hideMark/>
          </w:tcPr>
          <w:p w:rsidR="00E87091" w:rsidRPr="00FB42AE" w:rsidRDefault="00E87091" w:rsidP="00E87091">
            <w:pPr>
              <w:rPr>
                <w:rFonts w:ascii="Arial" w:hAnsi="Arial" w:cs="Arial"/>
                <w:sz w:val="16"/>
                <w:szCs w:val="16"/>
              </w:rPr>
            </w:pPr>
          </w:p>
        </w:tc>
        <w:tc>
          <w:tcPr>
            <w:tcW w:w="4220" w:type="dxa"/>
            <w:gridSpan w:val="2"/>
            <w:tcBorders>
              <w:bottom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p>
        </w:tc>
        <w:tc>
          <w:tcPr>
            <w:tcW w:w="4044" w:type="dxa"/>
            <w:tcBorders>
              <w:bottom w:val="single" w:sz="4" w:space="0" w:color="auto"/>
            </w:tcBorders>
            <w:shd w:val="clear" w:color="auto" w:fill="auto"/>
            <w:vAlign w:val="center"/>
            <w:hideMark/>
          </w:tcPr>
          <w:p w:rsidR="00E87091" w:rsidRPr="00FB42AE" w:rsidRDefault="00E87091" w:rsidP="00E87091">
            <w:pPr>
              <w:rPr>
                <w:rFonts w:ascii="Arial" w:hAnsi="Arial" w:cs="Arial"/>
                <w:sz w:val="16"/>
                <w:szCs w:val="16"/>
              </w:rPr>
            </w:pPr>
          </w:p>
        </w:tc>
      </w:tr>
      <w:tr w:rsidR="00E87091" w:rsidRPr="00FB42AE" w:rsidTr="00E87091">
        <w:trPr>
          <w:trHeight w:val="600"/>
        </w:trPr>
        <w:tc>
          <w:tcPr>
            <w:tcW w:w="1555" w:type="dxa"/>
            <w:vMerge w:val="restart"/>
            <w:tcBorders>
              <w:top w:val="single" w:sz="4" w:space="0" w:color="auto"/>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R.02-A – Cobertura da rede coletora de efluentes sanitários: % (SEADE)</w:t>
            </w:r>
          </w:p>
        </w:tc>
        <w:tc>
          <w:tcPr>
            <w:tcW w:w="4220"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4" w:space="0" w:color="auto"/>
              <w:left w:val="nil"/>
              <w:bottom w:val="single" w:sz="4" w:space="0" w:color="auto"/>
              <w:right w:val="single" w:sz="8"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 para a UGRHI e para o Estado de SP:</w:t>
            </w:r>
          </w:p>
        </w:tc>
      </w:tr>
      <w:tr w:rsidR="00E87091" w:rsidRPr="00FB42AE" w:rsidTr="00E87091">
        <w:trPr>
          <w:trHeight w:val="585"/>
        </w:trPr>
        <w:tc>
          <w:tcPr>
            <w:tcW w:w="1555" w:type="dxa"/>
            <w:vMerge/>
            <w:tcBorders>
              <w:top w:val="single" w:sz="8" w:space="0" w:color="auto"/>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single" w:sz="8" w:space="0" w:color="auto"/>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single" w:sz="8" w:space="0" w:color="auto"/>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 50% - RUIM</w:t>
            </w:r>
          </w:p>
        </w:tc>
      </w:tr>
      <w:tr w:rsidR="00E87091" w:rsidRPr="00FB42AE" w:rsidTr="00E87091">
        <w:trPr>
          <w:trHeight w:val="499"/>
        </w:trPr>
        <w:tc>
          <w:tcPr>
            <w:tcW w:w="1555"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R.02-B Proporção de efluente doméstico coletado em relação ao efluente doméstico total gerado: % (CETESB)</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499"/>
        </w:trPr>
        <w:tc>
          <w:tcPr>
            <w:tcW w:w="1555" w:type="dxa"/>
            <w:vMerge w:val="restart"/>
            <w:tcBorders>
              <w:top w:val="nil"/>
              <w:left w:val="single" w:sz="8" w:space="0" w:color="auto"/>
              <w:bottom w:val="nil"/>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R.02-C- Proporção de efluente doméstico tratado em relação ao efluente doméstico total gerado: % (CETESB)</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nil"/>
              <w:left w:val="single" w:sz="8" w:space="0" w:color="auto"/>
              <w:bottom w:val="nil"/>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nil"/>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499"/>
        </w:trPr>
        <w:tc>
          <w:tcPr>
            <w:tcW w:w="1555" w:type="dxa"/>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R.02-D- Proporção de redução da carga orgânica poluidora doméstica: % (CETESB)</w:t>
            </w:r>
          </w:p>
        </w:tc>
        <w:tc>
          <w:tcPr>
            <w:tcW w:w="4220"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single" w:sz="8" w:space="0" w:color="auto"/>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80% - BOM</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80% - REGULAR</w:t>
            </w:r>
          </w:p>
        </w:tc>
      </w:tr>
      <w:tr w:rsidR="00E87091" w:rsidRPr="00FB42AE" w:rsidTr="00E87091">
        <w:trPr>
          <w:trHeight w:val="499"/>
        </w:trPr>
        <w:tc>
          <w:tcPr>
            <w:tcW w:w="1555" w:type="dxa"/>
            <w:vMerge/>
            <w:tcBorders>
              <w:top w:val="single" w:sz="8" w:space="0" w:color="auto"/>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vMerge/>
            <w:tcBorders>
              <w:top w:val="single" w:sz="8" w:space="0" w:color="auto"/>
              <w:left w:val="single" w:sz="4" w:space="0" w:color="auto"/>
              <w:bottom w:val="single" w:sz="8" w:space="0" w:color="000000"/>
              <w:right w:val="single" w:sz="4" w:space="0" w:color="000000"/>
            </w:tcBorders>
            <w:vAlign w:val="center"/>
            <w:hideMark/>
          </w:tcPr>
          <w:p w:rsidR="00E87091" w:rsidRPr="00FB42AE" w:rsidRDefault="00E87091" w:rsidP="00E87091">
            <w:pPr>
              <w:rPr>
                <w:rFonts w:ascii="Arial" w:hAnsi="Arial" w:cs="Arial"/>
                <w:sz w:val="16"/>
                <w:szCs w:val="16"/>
              </w:rPr>
            </w:pPr>
          </w:p>
        </w:tc>
        <w:tc>
          <w:tcPr>
            <w:tcW w:w="4044" w:type="dxa"/>
            <w:tcBorders>
              <w:top w:val="nil"/>
              <w:left w:val="nil"/>
              <w:bottom w:val="single" w:sz="8"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499"/>
        </w:trPr>
        <w:tc>
          <w:tcPr>
            <w:tcW w:w="1555" w:type="dxa"/>
            <w:vMerge w:val="restart"/>
            <w:tcBorders>
              <w:top w:val="nil"/>
              <w:left w:val="single" w:sz="8" w:space="0" w:color="auto"/>
              <w:bottom w:val="single" w:sz="8" w:space="0" w:color="000000"/>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R.02-E- ICTEM - Indicador de Coleta e Tratabilidade de Esgoto da População Urbana de Município: 0 a 10 (CETESB)</w:t>
            </w:r>
          </w:p>
        </w:tc>
        <w:tc>
          <w:tcPr>
            <w:tcW w:w="4220" w:type="dxa"/>
            <w:gridSpan w:val="2"/>
            <w:tcBorders>
              <w:top w:val="single" w:sz="8" w:space="0" w:color="auto"/>
              <w:left w:val="nil"/>
              <w:bottom w:val="nil"/>
              <w:right w:val="single" w:sz="4" w:space="0" w:color="000000"/>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referência para o município:</w:t>
            </w:r>
          </w:p>
        </w:tc>
        <w:tc>
          <w:tcPr>
            <w:tcW w:w="4044" w:type="dxa"/>
            <w:tcBorders>
              <w:top w:val="nil"/>
              <w:left w:val="nil"/>
              <w:bottom w:val="single" w:sz="4" w:space="0" w:color="auto"/>
              <w:right w:val="single" w:sz="8" w:space="0" w:color="auto"/>
            </w:tcBorders>
            <w:shd w:val="clear" w:color="auto" w:fill="auto"/>
            <w:noWrap/>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Valor de referênia para a UGRHI e para o Estado de SP:</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00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0 &lt; ICTEM  &lt; 2,5     PÉSSIMO</w:t>
            </w:r>
          </w:p>
        </w:tc>
        <w:tc>
          <w:tcPr>
            <w:tcW w:w="4044" w:type="dxa"/>
            <w:tcBorders>
              <w:top w:val="nil"/>
              <w:left w:val="nil"/>
              <w:bottom w:val="single" w:sz="4" w:space="0" w:color="auto"/>
              <w:right w:val="single" w:sz="8" w:space="0" w:color="auto"/>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 xml:space="preserve"> ≥ 90% - BOM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9900"/>
            <w:noWrap/>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2,6 &lt; ICTEM &lt;  5,0     RUIM</w:t>
            </w:r>
          </w:p>
        </w:tc>
        <w:tc>
          <w:tcPr>
            <w:tcW w:w="4044" w:type="dxa"/>
            <w:tcBorders>
              <w:top w:val="nil"/>
              <w:left w:val="nil"/>
              <w:bottom w:val="single" w:sz="4" w:space="0" w:color="auto"/>
              <w:right w:val="single" w:sz="8"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xml:space="preserve"> ≥ 50% e &lt; 90% - REGULAR</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single" w:sz="4" w:space="0" w:color="auto"/>
              <w:left w:val="nil"/>
              <w:bottom w:val="single" w:sz="4" w:space="0" w:color="auto"/>
              <w:right w:val="single" w:sz="4" w:space="0" w:color="auto"/>
            </w:tcBorders>
            <w:shd w:val="clear" w:color="000000" w:fill="FFFF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5,1 &lt; ICTEM &lt; 7,5     REGULAR</w:t>
            </w:r>
          </w:p>
        </w:tc>
        <w:tc>
          <w:tcPr>
            <w:tcW w:w="4044" w:type="dxa"/>
            <w:tcBorders>
              <w:top w:val="nil"/>
              <w:left w:val="nil"/>
              <w:bottom w:val="single" w:sz="4" w:space="0" w:color="auto"/>
              <w:right w:val="single" w:sz="8" w:space="0" w:color="auto"/>
            </w:tcBorders>
            <w:shd w:val="clear" w:color="000000" w:fill="FF0000"/>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&lt;50% - RUIM</w:t>
            </w:r>
          </w:p>
        </w:tc>
      </w:tr>
      <w:tr w:rsidR="00E87091" w:rsidRPr="00FB42AE" w:rsidTr="00E87091">
        <w:trPr>
          <w:trHeight w:val="499"/>
        </w:trPr>
        <w:tc>
          <w:tcPr>
            <w:tcW w:w="1555" w:type="dxa"/>
            <w:vMerge/>
            <w:tcBorders>
              <w:top w:val="nil"/>
              <w:left w:val="single" w:sz="8" w:space="0" w:color="auto"/>
              <w:bottom w:val="single" w:sz="8" w:space="0" w:color="000000"/>
              <w:right w:val="single" w:sz="4" w:space="0" w:color="auto"/>
            </w:tcBorders>
            <w:vAlign w:val="center"/>
            <w:hideMark/>
          </w:tcPr>
          <w:p w:rsidR="00E87091" w:rsidRPr="00FB42AE" w:rsidRDefault="00E87091" w:rsidP="00E87091">
            <w:pPr>
              <w:rPr>
                <w:rFonts w:ascii="Arial" w:hAnsi="Arial" w:cs="Arial"/>
                <w:sz w:val="16"/>
                <w:szCs w:val="16"/>
              </w:rPr>
            </w:pPr>
          </w:p>
        </w:tc>
        <w:tc>
          <w:tcPr>
            <w:tcW w:w="4220" w:type="dxa"/>
            <w:gridSpan w:val="2"/>
            <w:tcBorders>
              <w:top w:val="nil"/>
              <w:left w:val="nil"/>
              <w:bottom w:val="single" w:sz="8" w:space="0" w:color="auto"/>
              <w:right w:val="single" w:sz="4" w:space="0" w:color="000000"/>
            </w:tcBorders>
            <w:shd w:val="clear" w:color="000000" w:fill="008000"/>
            <w:noWrap/>
            <w:vAlign w:val="center"/>
            <w:hideMark/>
          </w:tcPr>
          <w:p w:rsidR="00E87091" w:rsidRPr="00FB42AE" w:rsidRDefault="00E87091" w:rsidP="00E87091">
            <w:pPr>
              <w:jc w:val="center"/>
              <w:rPr>
                <w:rFonts w:ascii="Arial" w:hAnsi="Arial" w:cs="Arial"/>
                <w:color w:val="FFFFFF"/>
                <w:sz w:val="16"/>
                <w:szCs w:val="16"/>
              </w:rPr>
            </w:pPr>
            <w:r w:rsidRPr="00FB42AE">
              <w:rPr>
                <w:rFonts w:ascii="Arial" w:hAnsi="Arial" w:cs="Arial"/>
                <w:color w:val="FFFFFF"/>
                <w:sz w:val="16"/>
                <w:szCs w:val="16"/>
              </w:rPr>
              <w:t>7,6 &lt; ICTEM &lt; 10     BOM</w:t>
            </w:r>
          </w:p>
        </w:tc>
        <w:tc>
          <w:tcPr>
            <w:tcW w:w="4044" w:type="dxa"/>
            <w:tcBorders>
              <w:top w:val="nil"/>
              <w:left w:val="nil"/>
              <w:bottom w:val="single" w:sz="8" w:space="0" w:color="auto"/>
              <w:right w:val="single" w:sz="8" w:space="0" w:color="auto"/>
            </w:tcBorders>
            <w:shd w:val="clear" w:color="auto" w:fill="auto"/>
            <w:noWrap/>
            <w:vAlign w:val="bottom"/>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 </w:t>
            </w:r>
          </w:p>
        </w:tc>
      </w:tr>
      <w:tr w:rsidR="00E87091" w:rsidRPr="00FB42AE" w:rsidTr="00E87091">
        <w:trPr>
          <w:trHeight w:val="105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R.03-A- Proporção de áreas remediadas em relação às áreas contaminação atingiu o solo ou a água: %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305"/>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R.03-B Quantidade de atendimentos a descarga/derrame de produtos químicos no solo ou na água: n° ocorrências/ano (CETESB)</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20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R.04-A - Densidade da rede de monitoramento pluviométrico: nº de estações / 1.000 km</w:t>
            </w:r>
            <w:r w:rsidRPr="00FB42AE">
              <w:rPr>
                <w:rFonts w:ascii="Arial" w:hAnsi="Arial" w:cs="Arial"/>
                <w:sz w:val="16"/>
                <w:szCs w:val="16"/>
                <w:vertAlign w:val="superscript"/>
              </w:rPr>
              <w:t>2</w:t>
            </w:r>
            <w:r w:rsidRPr="00FB42AE">
              <w:rPr>
                <w:rFonts w:ascii="Arial" w:hAnsi="Arial" w:cs="Arial"/>
                <w:sz w:val="16"/>
                <w:szCs w:val="16"/>
              </w:rPr>
              <w:t xml:space="preserve">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35"/>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R.04B  -  Densidade da rede de monitoramento hidrológico: nº de estações / 1.000 km</w:t>
            </w:r>
            <w:r w:rsidRPr="00FB42AE">
              <w:rPr>
                <w:rFonts w:ascii="Arial" w:hAnsi="Arial" w:cs="Arial"/>
                <w:sz w:val="16"/>
                <w:szCs w:val="16"/>
                <w:vertAlign w:val="superscript"/>
              </w:rPr>
              <w:t>2</w:t>
            </w:r>
            <w:r w:rsidRPr="00FB42AE">
              <w:rPr>
                <w:rFonts w:ascii="Arial" w:hAnsi="Arial" w:cs="Arial"/>
                <w:sz w:val="16"/>
                <w:szCs w:val="16"/>
              </w:rPr>
              <w:t xml:space="preserve">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R.05-B- Vazão total outorgada para captações superficiais: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799"/>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R.05-C- Vazão total outorgada para captações subterrâneas: m</w:t>
            </w:r>
            <w:r w:rsidRPr="00FB42AE">
              <w:rPr>
                <w:rFonts w:ascii="Arial" w:hAnsi="Arial" w:cs="Arial"/>
                <w:sz w:val="16"/>
                <w:szCs w:val="16"/>
                <w:vertAlign w:val="superscript"/>
              </w:rPr>
              <w:t>3</w:t>
            </w:r>
            <w:r w:rsidRPr="00FB42AE">
              <w:rPr>
                <w:rFonts w:ascii="Arial" w:hAnsi="Arial" w:cs="Arial"/>
                <w:sz w:val="16"/>
                <w:szCs w:val="16"/>
              </w:rPr>
              <w:t>/s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065"/>
        </w:trPr>
        <w:tc>
          <w:tcPr>
            <w:tcW w:w="1555" w:type="dxa"/>
            <w:tcBorders>
              <w:top w:val="nil"/>
              <w:left w:val="single" w:sz="8" w:space="0" w:color="auto"/>
              <w:bottom w:val="single" w:sz="8" w:space="0" w:color="auto"/>
              <w:right w:val="single" w:sz="4" w:space="0" w:color="auto"/>
            </w:tcBorders>
            <w:shd w:val="clear" w:color="auto" w:fill="auto"/>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R.05-D- Quantidade outorgas concedidas para outras interferências em cursos d’água: n° (DAEE)</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r w:rsidR="00E87091" w:rsidRPr="00FB42AE" w:rsidTr="00E87091">
        <w:trPr>
          <w:trHeight w:val="1170"/>
        </w:trPr>
        <w:tc>
          <w:tcPr>
            <w:tcW w:w="1555" w:type="dxa"/>
            <w:tcBorders>
              <w:top w:val="nil"/>
              <w:left w:val="single" w:sz="8" w:space="0" w:color="auto"/>
              <w:bottom w:val="single" w:sz="8" w:space="0" w:color="auto"/>
              <w:right w:val="single" w:sz="4" w:space="0" w:color="auto"/>
            </w:tcBorders>
            <w:shd w:val="clear" w:color="000000" w:fill="FFFF99"/>
            <w:vAlign w:val="center"/>
            <w:hideMark/>
          </w:tcPr>
          <w:p w:rsidR="00E87091" w:rsidRPr="00FB42AE" w:rsidRDefault="00E87091" w:rsidP="00E87091">
            <w:pPr>
              <w:rPr>
                <w:rFonts w:ascii="Arial" w:hAnsi="Arial" w:cs="Arial"/>
                <w:sz w:val="16"/>
                <w:szCs w:val="16"/>
              </w:rPr>
            </w:pPr>
            <w:r w:rsidRPr="00FB42AE">
              <w:rPr>
                <w:rFonts w:ascii="Arial" w:hAnsi="Arial" w:cs="Arial"/>
                <w:sz w:val="16"/>
                <w:szCs w:val="16"/>
              </w:rPr>
              <w:t>R.05-G- Vazão outorgada para usos urbanos /  Volume estimado para Abastecimento Público: % (DAEE / SNIS)</w:t>
            </w:r>
          </w:p>
        </w:tc>
        <w:tc>
          <w:tcPr>
            <w:tcW w:w="4220" w:type="dxa"/>
            <w:gridSpan w:val="2"/>
            <w:tcBorders>
              <w:top w:val="single" w:sz="8" w:space="0" w:color="auto"/>
              <w:left w:val="nil"/>
              <w:bottom w:val="single" w:sz="8" w:space="0" w:color="auto"/>
              <w:right w:val="single" w:sz="4" w:space="0" w:color="000000"/>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há valor de referência estabelecido para este parâmetro</w:t>
            </w:r>
          </w:p>
        </w:tc>
        <w:tc>
          <w:tcPr>
            <w:tcW w:w="4044" w:type="dxa"/>
            <w:tcBorders>
              <w:top w:val="nil"/>
              <w:left w:val="nil"/>
              <w:bottom w:val="single" w:sz="8" w:space="0" w:color="auto"/>
              <w:right w:val="single" w:sz="8" w:space="0" w:color="auto"/>
            </w:tcBorders>
            <w:shd w:val="clear" w:color="auto" w:fill="auto"/>
            <w:vAlign w:val="center"/>
            <w:hideMark/>
          </w:tcPr>
          <w:p w:rsidR="00E87091" w:rsidRPr="00FB42AE" w:rsidRDefault="00E87091" w:rsidP="00E87091">
            <w:pPr>
              <w:jc w:val="center"/>
              <w:rPr>
                <w:rFonts w:ascii="Arial" w:hAnsi="Arial" w:cs="Arial"/>
                <w:sz w:val="16"/>
                <w:szCs w:val="16"/>
              </w:rPr>
            </w:pPr>
            <w:r w:rsidRPr="00FB42AE">
              <w:rPr>
                <w:rFonts w:ascii="Arial" w:hAnsi="Arial" w:cs="Arial"/>
                <w:sz w:val="16"/>
                <w:szCs w:val="16"/>
              </w:rPr>
              <w:t>Não se aplica</w:t>
            </w:r>
          </w:p>
        </w:tc>
      </w:tr>
    </w:tbl>
    <w:p w:rsidR="004C32A3" w:rsidRDefault="004C32A3" w:rsidP="00332249">
      <w:pPr>
        <w:jc w:val="right"/>
        <w:rPr>
          <w:rFonts w:ascii="Arial" w:hAnsi="Arial" w:cs="Arial"/>
          <w:b/>
          <w:bCs/>
        </w:rPr>
      </w:pPr>
    </w:p>
    <w:p w:rsidR="004C32A3" w:rsidRDefault="004C32A3" w:rsidP="00E87091">
      <w:pPr>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4C32A3" w:rsidRDefault="004C32A3"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80765F">
      <w:pPr>
        <w:jc w:val="both"/>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E87091" w:rsidRDefault="00E87091" w:rsidP="00332249">
      <w:pPr>
        <w:jc w:val="right"/>
        <w:rPr>
          <w:rFonts w:ascii="Arial" w:hAnsi="Arial" w:cs="Arial"/>
          <w:b/>
          <w:bCs/>
        </w:rPr>
      </w:pPr>
    </w:p>
    <w:p w:rsidR="00332249" w:rsidRDefault="00332249" w:rsidP="00E87091">
      <w:pPr>
        <w:tabs>
          <w:tab w:val="left" w:pos="794"/>
        </w:tabs>
        <w:rPr>
          <w:rFonts w:ascii="Arial" w:hAnsi="Arial" w:cs="Arial"/>
          <w:b/>
          <w:bCs/>
        </w:rPr>
      </w:pPr>
    </w:p>
    <w:p w:rsidR="00332249" w:rsidRPr="00E87091" w:rsidRDefault="00332249" w:rsidP="00E87091">
      <w:pPr>
        <w:jc w:val="right"/>
        <w:rPr>
          <w:rFonts w:ascii="Arial" w:hAnsi="Arial" w:cs="Arial"/>
          <w:b/>
          <w:bCs/>
          <w:sz w:val="28"/>
          <w:szCs w:val="28"/>
        </w:rPr>
      </w:pPr>
      <w:r w:rsidRPr="00E87091">
        <w:rPr>
          <w:rFonts w:ascii="Arial" w:hAnsi="Arial" w:cs="Arial"/>
          <w:b/>
          <w:bCs/>
          <w:sz w:val="28"/>
          <w:szCs w:val="28"/>
        </w:rPr>
        <w:t>Glossário</w:t>
      </w: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Default="00332249" w:rsidP="00332249">
      <w:pPr>
        <w:jc w:val="right"/>
        <w:rPr>
          <w:rFonts w:ascii="Arial" w:hAnsi="Arial" w:cs="Arial"/>
          <w:b/>
          <w:bCs/>
        </w:rPr>
      </w:pPr>
    </w:p>
    <w:p w:rsidR="00332249" w:rsidRPr="00BE215F" w:rsidRDefault="00332249" w:rsidP="00BE215F">
      <w:pPr>
        <w:rPr>
          <w:rFonts w:ascii="Arial" w:hAnsi="Arial" w:cs="Arial"/>
          <w:b/>
          <w:bCs/>
          <w:sz w:val="18"/>
          <w:szCs w:val="18"/>
        </w:rPr>
      </w:pPr>
    </w:p>
    <w:tbl>
      <w:tblPr>
        <w:tblW w:w="9353" w:type="dxa"/>
        <w:tblLayout w:type="fixed"/>
        <w:tblCellMar>
          <w:left w:w="70" w:type="dxa"/>
          <w:right w:w="70" w:type="dxa"/>
        </w:tblCellMar>
        <w:tblLook w:val="04A0"/>
      </w:tblPr>
      <w:tblGrid>
        <w:gridCol w:w="2480"/>
        <w:gridCol w:w="196"/>
        <w:gridCol w:w="6677"/>
      </w:tblGrid>
      <w:tr w:rsidR="00BE215F" w:rsidRPr="00BE215F" w:rsidTr="00D93971">
        <w:trPr>
          <w:trHeight w:val="1412"/>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FM.01-A: </w:t>
            </w:r>
            <w:r w:rsidRPr="00BE215F">
              <w:rPr>
                <w:rFonts w:ascii="Arial" w:hAnsi="Arial" w:cs="Arial"/>
                <w:sz w:val="18"/>
                <w:szCs w:val="18"/>
              </w:rPr>
              <w:t>Taxa geométrica de crescimento anual -TGCA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Representa o crescimento médio da população residente numa região em um determinado período de tempo, indicando o ritmo de crescimento populacional. Determinar o ritmo do crescimento populacional é fundamental para a projeção da demanda e disponibilidade de água e saneamento, visando o planejamento da infra-estrutura  e ações necessárias, de modo a mitigar ou evitar os impactos diretos e indiretos nos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63"/>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FM.03-A:</w:t>
            </w:r>
            <w:r w:rsidRPr="00BE215F">
              <w:rPr>
                <w:rFonts w:ascii="Arial" w:hAnsi="Arial" w:cs="Arial"/>
                <w:sz w:val="18"/>
                <w:szCs w:val="18"/>
              </w:rPr>
              <w:t xml:space="preserve"> Densidade Demográfica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Número de habitantes residentes em uma região geográfica em determinado momento em relação à área da mesma. O mesmo que população relativa. A densidade demográfica é um índice utilizado para verificar a intensidade de ocupação de um território. O conhecimento da concentração ou dispersão da população pelo território permite inferir as possíveis pressões sobre os recursos hídricos e as ações necessários para a gestão.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71"/>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FM.03-B:</w:t>
            </w:r>
            <w:r w:rsidRPr="00BE215F">
              <w:rPr>
                <w:rFonts w:ascii="Arial" w:hAnsi="Arial" w:cs="Arial"/>
                <w:sz w:val="18"/>
                <w:szCs w:val="18"/>
              </w:rPr>
              <w:t xml:space="preserve"> Taxa de urbanização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Percentual da população urbana em relação à população total. A concentração populacional nos centros urbanos cada vez mais demanda água para satisfazer suas necessidades e suas condições de vida (abastecimento de água potável, esgotamento sanitário, lazer, etc.). Este consumo cresce à medida que aumenta o grau de urbanização e se eleva o padrão de vida desta população, podendo impactar os recursos hídricos comprometendo sua qualidade e quantidade.</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09"/>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FM.04-A:</w:t>
            </w:r>
            <w:r w:rsidRPr="00BE215F">
              <w:rPr>
                <w:rFonts w:ascii="Arial" w:hAnsi="Arial" w:cs="Arial"/>
                <w:sz w:val="18"/>
                <w:szCs w:val="18"/>
              </w:rPr>
              <w:t xml:space="preserve"> Índice Paulista de Responsabilidade Social - IPRS</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Índice elaborado para aferir o desenvolvimento humano dos municípios do Estado de São Paulo utilizando as dimensões - riqueza municipal, escolaridade e longevidade, para avaliar as condições de vida da população. Permite classificar os municipios paulistas em grupos, conforme os diferentes estágios de desenvolvimento humano, refletindo melhor as distintas realidades sociais do Estado de São Paulo.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7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FM.04-B:</w:t>
            </w:r>
            <w:r w:rsidRPr="00BE215F">
              <w:rPr>
                <w:rFonts w:ascii="Arial" w:hAnsi="Arial" w:cs="Arial"/>
                <w:sz w:val="18"/>
                <w:szCs w:val="18"/>
              </w:rPr>
              <w:t xml:space="preserve"> Índice de desenvolvimento humano municipal - IDH-M</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Índice com o objetivo específico de medir o desenvolvimento humano dos município brasileiros. O IDH-M utiliza três dimensões – renda, longevidade e educação. O indicador é recomendado para prognósticos e projeções na elaboração de políticas públicas setoriais que vão rebater com consequência na política de recursos hídricos.</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42"/>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FM.05-B:</w:t>
            </w:r>
            <w:r w:rsidRPr="00BE215F">
              <w:rPr>
                <w:rFonts w:ascii="Arial" w:hAnsi="Arial" w:cs="Arial"/>
                <w:sz w:val="18"/>
                <w:szCs w:val="18"/>
              </w:rPr>
              <w:t xml:space="preserve"> Exploração animal - Bovinocultura (corte, leite, mista)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cabeças de gado bovino (de corte, leite ou mista) no Estado de São Paulo. Estimar a intensidade da atividade da pecuária bovina em uma região, visa orientar a gestão dos recursos hídricos, pois representa uma atividade que demanda grandes quantidades de água e influencia diretamente na qualidade dos recursos hídricos.</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0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FM.05-C: </w:t>
            </w:r>
            <w:r w:rsidRPr="00BE215F">
              <w:rPr>
                <w:rFonts w:ascii="Arial" w:hAnsi="Arial" w:cs="Arial"/>
                <w:sz w:val="18"/>
                <w:szCs w:val="18"/>
              </w:rPr>
              <w:t>Exploração animal - Avicultura (corte, ovos)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quantidade de aves (de corte ou de ovos) no Estado de São Paulo. Estimar a intensidade da atividade da pecuária avícola em uma região, visa orientar a gestão dos recursos hídricos, pois representa uma atividade que demanda grandes quantidades de água e influencia diretamente na qualidade dos recursos hídricos.</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184"/>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FM.05-D:</w:t>
            </w:r>
            <w:r w:rsidRPr="00BE215F">
              <w:rPr>
                <w:rFonts w:ascii="Arial" w:hAnsi="Arial" w:cs="Arial"/>
                <w:sz w:val="18"/>
                <w:szCs w:val="18"/>
              </w:rPr>
              <w:t xml:space="preserve"> Exploração animal - Suinocultura (corte)</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cabeças de porcos (de corte) no Estado de São Paulo. Estimar a intensidade da atividade da pecuária suína em uma região, visa orientar a gestão dos recursos hídricos, pois representa uma atividade que demanda grandes quantidades de água e influencia diretamente na qualidade dos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02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FM.06-B:</w:t>
            </w:r>
            <w:r w:rsidRPr="00BE215F">
              <w:rPr>
                <w:rFonts w:ascii="Arial" w:hAnsi="Arial" w:cs="Arial"/>
                <w:sz w:val="18"/>
                <w:szCs w:val="18"/>
              </w:rPr>
              <w:t xml:space="preserve"> Quantidade de estabelecimentos industriais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indústrias registradas no Estado de São Paulo, e permite avaliar a intensidade da atividade industrial para orientar a gestão dos recursos hídricos. OBS. O consumo médio de água na indústria depende dos bens produzidos.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02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FM.06-C: </w:t>
            </w:r>
            <w:r w:rsidRPr="00BE215F">
              <w:rPr>
                <w:rFonts w:ascii="Arial" w:hAnsi="Arial" w:cs="Arial"/>
                <w:sz w:val="18"/>
                <w:szCs w:val="18"/>
              </w:rPr>
              <w:t>Quantidade de estabelecimentos de mineração em geral</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o nº de estabelecimentos que exercem atividades de mineração (exceto a exploração de água mineral. Atividades minerais, como extração, transformação e distribuição de bens minerais, exercem pressão direta na disponibilidade e qualidade dos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76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FM.06-D: </w:t>
            </w:r>
            <w:r w:rsidRPr="00BE215F">
              <w:rPr>
                <w:rFonts w:ascii="Arial" w:hAnsi="Arial" w:cs="Arial"/>
                <w:sz w:val="18"/>
                <w:szCs w:val="18"/>
              </w:rPr>
              <w:t>Quantidade de estabelecimentos de extração de água mineral</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o nº de estabelecimentos que extraem água mineral para fins econômicos. A exploração de água mineral exerce pressão direta na disponibilidade e qualidade dos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461"/>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FM.07-A:</w:t>
            </w:r>
            <w:r w:rsidRPr="00BE215F">
              <w:rPr>
                <w:rFonts w:ascii="Arial" w:hAnsi="Arial" w:cs="Arial"/>
                <w:sz w:val="18"/>
                <w:szCs w:val="18"/>
              </w:rPr>
              <w:t xml:space="preserve"> Quantidade de estabelecimentos de comércio</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estabelecimentos de comércio existente nos municípios. Consideram-se como estabelecimento as unidades de cada empresa separadas espacialmente, ou seja, com endereços distintos. No caso dos estabelecimentos com mais de uma atividade econômica, leva-se em conta a atividade principal. As atividades de comércio podem resultar em grandes demandas de água e geração de resíduos.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29"/>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FM.07-B:</w:t>
            </w:r>
            <w:r w:rsidRPr="00BE215F">
              <w:rPr>
                <w:rFonts w:ascii="Arial" w:hAnsi="Arial" w:cs="Arial"/>
                <w:sz w:val="18"/>
                <w:szCs w:val="18"/>
              </w:rPr>
              <w:t xml:space="preserve"> Quantidade de estabelecimentos de serviços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estabelecimentos de serviços existente nos municípios. Consideram-se como estabelecimento as unidades de cada empresa separadas espacialmente, ou seja, com endereços distintos. No caso dos estabelecimentos com mais de uma atividade econômica, leva-se em conta a atividade principal. As atividades de serviços podem resultar em grandes demandas de água e geração de resíduos.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63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FM.09-A:</w:t>
            </w:r>
            <w:r w:rsidRPr="00BE215F">
              <w:rPr>
                <w:rFonts w:ascii="Arial" w:hAnsi="Arial" w:cs="Arial"/>
                <w:sz w:val="18"/>
                <w:szCs w:val="18"/>
              </w:rPr>
              <w:t xml:space="preserve"> Potência de energia hidrelétrica outorgada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Este parâmetro apresenta a quantidade de energia elétrica gerada por UGRHI. Para algumas regiões, a potência de energia elétrica instalada é bastante relevante, devido à  tendência do aumento do número de Pequenas Centrais Hidrelétricas (PCH's), e consequentemente do aumento de empreendimentos que essas PCH's trazem. Considera-se ainda que a construção de barragens, a formação de reservatórios e a geração de energia hidrelétrica tem influência direta sobre 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61"/>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FM.09-B:</w:t>
            </w:r>
            <w:r w:rsidRPr="00BE215F">
              <w:rPr>
                <w:rFonts w:ascii="Arial" w:hAnsi="Arial" w:cs="Arial"/>
                <w:sz w:val="18"/>
                <w:szCs w:val="18"/>
              </w:rPr>
              <w:t xml:space="preserve"> Área inundada por reservatórios hidrelétricos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Este parâmetro apresenta a área inundada por reservatórios hidrelétricos na UGRHI. Para algumas regiões, a potência de energia elétrica instalada é bastante relevante, devido à  tendência do aumento do número de Pequenas Centrais Hidrelétricas (PCH's), e consequentemente do aumento de empreendimentos que essas PCH's trazem. Considera-se ainda que a construção de barragens, a formação de reservatórios e a geração de energia hidrelétrica tem influência direta sobre 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7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P.01-A: </w:t>
            </w:r>
            <w:r w:rsidRPr="00BE215F">
              <w:rPr>
                <w:rFonts w:ascii="Arial" w:hAnsi="Arial" w:cs="Arial"/>
                <w:sz w:val="18"/>
                <w:szCs w:val="18"/>
              </w:rPr>
              <w:t>Demanda total de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Soma do volume de água total consumida (superficial e subterrânea) requerido por todos os usos: Urbano, Industrial, Rural e Outros usos. O conhecimento da demanda total é de fundamental importância para a gestão dos recursos hídricos, representando uma pressão direta exercida sobre a disponibilidade hídrica. Devido à importância do indicador, optou-se por adotar neste momento a demanda como a vazão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926"/>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P.01-B:</w:t>
            </w:r>
            <w:r w:rsidRPr="00BE215F">
              <w:rPr>
                <w:rFonts w:ascii="Arial" w:hAnsi="Arial" w:cs="Arial"/>
                <w:sz w:val="18"/>
                <w:szCs w:val="18"/>
              </w:rPr>
              <w:t xml:space="preserve"> Demanda de água superficial</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Soma do volume de água superficial consumido. O conhecimento da demanda superficial é de fundamental importância para a gestão dos recursos hídricos, pois reflete a pressão direta sobre a disponibilidade hídrica. O indicador busca avaliar a intensidade e a tendência da demanda superficial visando gerenciar o balanço entre a demandas de uso e a disponibilidade das águas superficiais. Devido a importância do indicador, optou-se por adotar neste momento a vazão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979"/>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P.01-C:</w:t>
            </w:r>
            <w:r w:rsidRPr="00BE215F">
              <w:rPr>
                <w:rFonts w:ascii="Arial" w:hAnsi="Arial" w:cs="Arial"/>
                <w:sz w:val="18"/>
                <w:szCs w:val="18"/>
              </w:rPr>
              <w:t xml:space="preserve"> Demanda de água subterrânea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Soma do volume de água subterrânea consumido. O conhecimento da demanda total subterrânea (estimativa da demanda "real") é de fundamental importância para a gestão dos recursos hídricos, pois reflete a pressão direta sobre a disponibilidade hídrica. O indicador busca avaliar a intensidade e a tendência da demanda subterrânea visando gerenciar o balanço entre a demandas de uso e a disponibilidade das águas subterrâneas. Devido a importância do indicador, optou-se por adotar neste momento a vazão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491"/>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P.02-A:</w:t>
            </w:r>
            <w:r w:rsidRPr="00BE215F">
              <w:rPr>
                <w:rFonts w:ascii="Arial" w:hAnsi="Arial" w:cs="Arial"/>
                <w:sz w:val="18"/>
                <w:szCs w:val="18"/>
              </w:rPr>
              <w:t xml:space="preserve"> Demanda urbana de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Volume total de água (superficial e subterrânea) utilizado nos usos Urbanos (abastecimento público e comércio). O indicador aponta as atividades socioeconômicas para as quais a água superficial e/ou subterrânea se destina, e abrange especificamente o uso urbano. O conhecimento da demanda por tipo de uso é de fundamental importância para a gestão dos recursos hídricos, uma vez que o desequilíbrio entre os usos da água pode acarretar conflitos. Além disso, permite avaliar as variações de consumo e subsidia no estabelecimento de metas de adequação do consumo para os diversos usos. Vale lembrar que, na ausência de dados da demanda urbana estimada, foram adotados os dados de demanda urbana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516"/>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P.02-B: </w:t>
            </w:r>
            <w:r w:rsidRPr="00BE215F">
              <w:rPr>
                <w:rFonts w:ascii="Arial" w:hAnsi="Arial" w:cs="Arial"/>
                <w:sz w:val="18"/>
                <w:szCs w:val="18"/>
              </w:rPr>
              <w:t>Demanda industrial de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Volume total de água (superficial e subterrânea) utilizado nos usos industriais (processos produtivos, tratamento de efluentes industriais). O indicador aponta as atividades socioeconômicas para as quais a água superficial ou subterrânea se destina, e abrange especificamente o uso industrial. O conhecimento da demanda por tipo de uso é de fundamental importância para a gestão dos recursos hídricos, uma vez que o desequilíbrio entre os usos da água pode acarretar conflitos. Além disso, permite avaliar as variações de consumo e subsidia o estabelecimento de metas de adequação do consumo para os diversos usos. Vale lembrar que, na ausência de dados da demanda industrial estimada, foram adotados dados de demanda industrial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344"/>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P.02-C:</w:t>
            </w:r>
            <w:r w:rsidRPr="00BE215F">
              <w:rPr>
                <w:rFonts w:ascii="Arial" w:hAnsi="Arial" w:cs="Arial"/>
                <w:sz w:val="18"/>
                <w:szCs w:val="18"/>
              </w:rPr>
              <w:t xml:space="preserve"> Demanda rural de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Volume total de água (superficial e subterrânea) utilizado nos usos rurais (irrigação, pecuária, aquicultura, etc). O indicador aponta as atividades socioeconômicas para as quais a água superficial ou subterrânea se destina, e abrange especificamente o uso rural. O conhecimento da demanda por tipo de uso é de fundamental importância para a gestão dos recursos hídricos, uma vez que o desequilíbrio entre os usos da água pode acarretar em conflitos. Além disso, permite avaliar as variações de consumo e subsidia no estabelecimento de metas de adequação do consumo para os diversos usos. Vale lembrar que, na ausência de dados da demanda rural estimada, foram adotados os dados de demanda rural outorgada,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49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P.02-D: </w:t>
            </w:r>
            <w:r w:rsidRPr="00BE215F">
              <w:rPr>
                <w:rFonts w:ascii="Arial" w:hAnsi="Arial" w:cs="Arial"/>
                <w:sz w:val="18"/>
                <w:szCs w:val="18"/>
              </w:rPr>
              <w:t>Demanda para outros usos da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Volume total de água (superficial e subterrânea) para Outros usos da água (usos que não se enquadram como uso urbano, industrial ou rural, por exemplo, lazer e paisagismo). O indicador aponta as atividades socioeconômicas para as quais a água superficial ou subterrânea se destina, e abrange especificamente Outros usos. O conhecimento da demanda por tipo de uso é de fundamental importância para a gestão dos recursos hídricos, uma vez que o desequilíbrio entre os usos da água pode acarretar conflitos. Além disso, permite avaliar as variações de consumo e subsidia o estabelecimento de metas de adequação do consumo para os diversos usos. Vale lembrar que, na ausência de dados da demanda estimada, foram adotados os dados de demanda outorgada para Outros usos, devendo a análise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263"/>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P.02-E:</w:t>
            </w:r>
            <w:r w:rsidRPr="00BE215F">
              <w:rPr>
                <w:rFonts w:ascii="Arial" w:hAnsi="Arial" w:cs="Arial"/>
                <w:sz w:val="18"/>
                <w:szCs w:val="18"/>
              </w:rPr>
              <w:t xml:space="preserve"> Demanda estimada para Abastecimento Urbano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Volume estimado de água (superficial e subterrânea) utilizado para Abastecimento Urbano. O indicador aponta as atividades socioeconômicas para as quais a água superficial e/ou subterrânea se destina, e abrange especificamente o valor estimado para Abastecimento Urbano. As diretrizes da Política Estadual de Recursos Hídricos (Lei 7.663/91) definem o abastecimento das populações como uso prioritário dos recursos hídricos. O conhecimento da demanda para Abastecimento Urbano é de fundamental importância para a gestão dos recursos hídricos, uma vez que o desequilíbrio entre os usos da água pode acarretar conflitos.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343"/>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P.03-A:</w:t>
            </w:r>
            <w:r w:rsidRPr="00BE215F">
              <w:rPr>
                <w:rFonts w:ascii="Arial" w:hAnsi="Arial" w:cs="Arial"/>
                <w:sz w:val="18"/>
                <w:szCs w:val="18"/>
              </w:rPr>
              <w:t xml:space="preserve"> Quantidade de captações superficiais em relação à área total da bacia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relação entre o nº de captações superficiais de água e a área total da bacia. Consideram-se captações superficiais de água, os sistemas que abrangem as instalações destinadas à retirada de água em corpos de água superficiais, por unidade de tempo, para fins de uso público ou privado. O aumento do número de captações de água representa uma pressão direta sobre a disponibilidade hídrica, desta forma o parâmetro busca avaliar a intensidade e a tendência das captações superficiais e subterrâneas com o intuito de otimizar o gerenciamento dos recursos hídricos. Deve-se considerar para a análise deste indicador, o volume outorgado, haja vista que apenas o número de captações por área pode mascarar a real pressão sobre disponibilidade hídrica, já que uma captação de um grande usuário pode ultrapassar o volume da soma de centenas de pequenos usuários.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481"/>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P.03-B:</w:t>
            </w:r>
            <w:r w:rsidRPr="00BE215F">
              <w:rPr>
                <w:rFonts w:ascii="Arial" w:hAnsi="Arial" w:cs="Arial"/>
                <w:sz w:val="18"/>
                <w:szCs w:val="18"/>
              </w:rPr>
              <w:t xml:space="preserve"> Quantidade de captações subterrâneas em relação à área total da bacia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relação entre o nº de captações subterrâneas de água e a área total da bacia. Consideram-se captações subterrâneas de água os sistemas que abrangem as instalações destinadas à retirada de água subterrânea (poços), por unidade de tempo, para fins de uso público ou privado. O aumento do número de captações de água é uma pressão direta na disponibilidade hídrica. O parâmetro busca avaliar a intensidade e a tendência das captações superficiais e subterrâneas visando gerenciar as demandas de uso e a disponibilidade das águas. Deve-se considerar para a análise deste indicador, o volume outorgado, haja vista que apenas o número de captações por área pode mascarar a real pressão sobre disponibilidade hídrica, já que uma captação de um grande usuário pode ultrapassar o volume da soma de centenas de pequenos usuários.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321"/>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P.03-C:</w:t>
            </w:r>
            <w:r w:rsidRPr="00BE215F">
              <w:rPr>
                <w:rFonts w:ascii="Arial" w:hAnsi="Arial" w:cs="Arial"/>
                <w:sz w:val="18"/>
                <w:szCs w:val="18"/>
              </w:rPr>
              <w:t xml:space="preserve"> Proporção de captações superficiais em relação ao total</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 xml:space="preserve">O parâmetro apresenta a proporção do número de captações superficiais de água  em relação ao soma total das captações. Sistema que abrange as instalações destinadas a extração da água em rios ou aquíferos subterrâneos, por unidade de tempo, para fins de uso público ou privado. </w:t>
            </w:r>
            <w:r w:rsidRPr="00BE215F">
              <w:rPr>
                <w:rFonts w:ascii="Arial" w:hAnsi="Arial" w:cs="Arial"/>
                <w:i/>
                <w:iCs/>
                <w:sz w:val="18"/>
                <w:szCs w:val="18"/>
              </w:rPr>
              <w:br w:type="page"/>
              <w:t>O aumento do número de captações de água é uma pressão direta na disponibilidade hídrica. O parâmetro busca avaliar a intensidade e a tendência das captações superficiais visando gerenciar as demandas de uso e a disponibilidade das águas. Deve-se considerar para a análise deste indicador, o volume outorgado, haja vista que apenas a proporção do número de captações pode mascarar a real pressão sobre a disponibilidade hídrica, já que uma captação de um grande usuário pode ultrapassar o volume da soma de centenas de pequenos usuários.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627"/>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P.03-D:</w:t>
            </w:r>
            <w:r w:rsidRPr="00BE215F">
              <w:rPr>
                <w:rFonts w:ascii="Arial" w:hAnsi="Arial" w:cs="Arial"/>
                <w:sz w:val="18"/>
                <w:szCs w:val="18"/>
              </w:rPr>
              <w:t xml:space="preserve"> Proporção de captações subterrâneas em relação ao total</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representa a proporção do número de captações subterrâneas de água outorgadas em relação ao soma total das captações outorgadas. Sistema que abrange as instalações destinadas a extração da água em rios ou aquíferos subterrâneos, por unidade de tempo, para fins de uso público ou privado. O aumento do número de captações de água é uma pressão direta na disponibilidade hídrica. O parâmetro busca avaliar a intensidade e a tendência das captações subterrâneas visando gerenciar as demandas de uso e a disponibilidade das águas. Deve-se considerar no entanto,  para a análise deste indicador, também o volume outorgado, uma vez que, apenas a proporção do número de captações pode mascarar a real pressão sobre a disponibilidade hídrica, já que uma captação de um grande usuário pode ultrapassar o volume da soma de centenas de outros pequenos usuários.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02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P.04-A: </w:t>
            </w:r>
            <w:r w:rsidRPr="00BE215F">
              <w:rPr>
                <w:rFonts w:ascii="Arial" w:hAnsi="Arial" w:cs="Arial"/>
                <w:sz w:val="18"/>
                <w:szCs w:val="18"/>
              </w:rPr>
              <w:t>Quantidade de resíduos sólidos domiciliares gerados</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estimativa da quantidade de resíduos sólidos domiciliares gerados em área urbana, por ano. Os resíduos sólidos domiciliares descartados ou dispostos de forma inadequada acarretam contaminação do solo e das águas superficiais e subterrâneas.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53"/>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P.05-C:</w:t>
            </w:r>
            <w:r w:rsidRPr="00BE215F">
              <w:rPr>
                <w:rFonts w:ascii="Arial" w:hAnsi="Arial" w:cs="Arial"/>
                <w:sz w:val="18"/>
                <w:szCs w:val="18"/>
              </w:rPr>
              <w:t xml:space="preserve"> Carga orgânica poluidora doméstica remanescente</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carga orgânica poluidora remanescente que é lançada em um corpo hídrico receptor. A carga orgânica poluidora remanescente (composta basicamente de esgotos domésticos) considera a carga orgânica que não é coletada, a carga orgânica que que não é tratada, e a carga orgânica que o tratamento não reduziu. A presença de alto teor de matéria orgânica pode induzir à completa extinção do oxigênio na água, provocando o desaparecimento de peixes e outras formas de vida aquática. Pode, também, produzir sabores e odores desagradáveis, além de obstruir os filtros de areia utilizados nas estações de tratamento de água, e possibilitar a proliferação de microrganismos tóxicos e/ou patogênicos.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609"/>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P.06-A: </w:t>
            </w:r>
            <w:r w:rsidRPr="00BE215F">
              <w:rPr>
                <w:rFonts w:ascii="Arial" w:hAnsi="Arial" w:cs="Arial"/>
                <w:sz w:val="18"/>
                <w:szCs w:val="18"/>
              </w:rPr>
              <w:t>Quantidade de áreas contaminadas em que o contaminante atingiu o solo ou 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Área contaminada é a área onde existe comprovadamente contaminação ou poluição causada pela introdução ou infiltração de quaisquer substâncias ou resíduos de forma planejada, acidental ou até mesmo natural. Os poluentes ou contaminantes podem propagar-se para as águas subterrâneas e superficiais, alterando suas características naturais de qualidade e determinando impactos negativos e/ou riscos na própria área ou em seus arredores. A contaminação das águas superficiais ou subterrâneas altera diretamente sua qualidade e disponibilidade, e impacta negativamente o meio ambiente. A contaminação em pontos de recarga de aquíferos apresenta criticidade ainda maior, pois as águas subterrâneas representam a principal fonte de água para abastecimento em quase metade do Estado de São Paulo.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8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P.06-B:</w:t>
            </w:r>
            <w:r w:rsidRPr="00BE215F">
              <w:rPr>
                <w:rFonts w:ascii="Arial" w:hAnsi="Arial" w:cs="Arial"/>
                <w:sz w:val="18"/>
                <w:szCs w:val="18"/>
              </w:rPr>
              <w:t xml:space="preserve"> Ocorrência de descarga/derrame de produtos químicos no solo ou na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ocorrências de contaminação da água decorrida de descarga ou derrame. A contaminação das águas superficiais ou subterrâneas altera diretamente sua qualidade e disponibilidade, e impacta negativamente o meio ambiente. A contaminação em pontos de recarga de aquíferos apresenta criticidade ainda maior, pois as águas subterrâneas representam a principal fonte de água para abastecimento em quase metade do Estado de São Paulo.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5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P.07-A:</w:t>
            </w:r>
            <w:r w:rsidRPr="00BE215F">
              <w:rPr>
                <w:rFonts w:ascii="Arial" w:hAnsi="Arial" w:cs="Arial"/>
                <w:sz w:val="18"/>
                <w:szCs w:val="18"/>
              </w:rPr>
              <w:t xml:space="preserve"> Quantidade de boçorocas em relação à área total da bacia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A boçoroca é o estágio mais avançado e complexo de erosão, cujo poder destrutivo local é superior ao das outras formas de erosão e, portanto, de mais difícil contenção e remediação.  Pela presença de boçorocas estar diretamente ligada à perda significativa de solo e ao assoreamento dos corpos de água, a sua contabilização é fundamental para gestão dos recursos hídricos, sendo o parâmetro mantido mesmo sem a atualização frequente dos dados.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059"/>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P.08-A:</w:t>
            </w:r>
            <w:r w:rsidRPr="00BE215F">
              <w:rPr>
                <w:rFonts w:ascii="Arial" w:hAnsi="Arial" w:cs="Arial"/>
                <w:sz w:val="18"/>
                <w:szCs w:val="18"/>
              </w:rPr>
              <w:t xml:space="preserve"> Quantidade de barramentos hidrelétricos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N</w:t>
            </w:r>
            <w:r w:rsidRPr="00BE215F">
              <w:rPr>
                <w:rFonts w:ascii="Arial" w:hAnsi="Arial" w:cs="Arial"/>
                <w:b/>
                <w:bCs/>
                <w:i/>
                <w:iCs/>
                <w:sz w:val="18"/>
                <w:szCs w:val="18"/>
              </w:rPr>
              <w:t xml:space="preserve">º </w:t>
            </w:r>
            <w:r w:rsidRPr="00BE215F">
              <w:rPr>
                <w:rFonts w:ascii="Arial" w:hAnsi="Arial" w:cs="Arial"/>
                <w:i/>
                <w:iCs/>
                <w:sz w:val="18"/>
                <w:szCs w:val="18"/>
              </w:rPr>
              <w:t>total de barramentos (estruturas construídas em corpos d'água, com finalidade de represamento) com fins hidrelétricos. O conhecimentos do número de barramentos implantados em uma determinada área/região é de grande importância para a gestão dos recursos hídricos, visto que podem modificar o volume de água disponibilizado para as áreas/regiões de jusante.</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064"/>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P.08-D:</w:t>
            </w:r>
            <w:r w:rsidRPr="00BE215F">
              <w:rPr>
                <w:rFonts w:ascii="Arial" w:hAnsi="Arial" w:cs="Arial"/>
                <w:sz w:val="18"/>
                <w:szCs w:val="18"/>
              </w:rPr>
              <w:t xml:space="preserve"> Quantidade de barramentos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Número total de barramentos (estruturas construídas em corpos de água, com finalidade de represamento) em uma determinada UGRHI. O conhecimento do número de barramentos implantados em uma determinada área/região é de grande importância para a gestão dos recursos hídricos, visto que, podem modificar o volume de água disponibilizado para as áreas/regiões de jusante.</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837"/>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E.01-A:</w:t>
            </w:r>
            <w:r w:rsidRPr="00BE215F">
              <w:rPr>
                <w:rFonts w:ascii="Arial" w:hAnsi="Arial" w:cs="Arial"/>
                <w:sz w:val="18"/>
                <w:szCs w:val="18"/>
              </w:rPr>
              <w:t xml:space="preserve"> IQA - Índice de Qualidade das Águas</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IQA é definido como o índice de qualidade de águas doces para fins de abastecimento público. Este índice reflete principalmente, a contaminação dos corpos hídricos ocasionada pelo lançamento de esgotos domésticos. O valor do IQA é obtido a partir de uma fórmula matemática que utiliza 9 parâmetros: temperatura, pH, oxigênio dissolvido, demanda bioquímica de oxigênio, quantidade de coliformes fecais, nitrogênio, fósforo,  resíduos totais e turbidez (todos medidos in situ). Quanto maior o valor do IQA, melhor a qualidade da água.</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936"/>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E.01-B:</w:t>
            </w:r>
            <w:r w:rsidRPr="00BE215F">
              <w:rPr>
                <w:rFonts w:ascii="Arial" w:hAnsi="Arial" w:cs="Arial"/>
                <w:sz w:val="18"/>
                <w:szCs w:val="18"/>
              </w:rPr>
              <w:t xml:space="preserve"> IAP - Índice de Qualidade das Águas Brutas para fins de Abastecimento Público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IAP é definido como índice de qualidade de águas doces para fins de abastecimento público, que reflete principalmente a contaminação dos corpos hídricos oriunda da urbanização e industrialização. É um índice que considera ferro dissolvido, manganês, alumínio dissolvido, cobre dissolvido e zinco, que interferem nas características da água, bem como potencial de formação de trihalometanos, número de células de cianobactérias, cádmio, chumbo, cromo total, mercúrio e níquel. A partir de 2008 o IAP foi calculado apenas nos pontos que são coincidentes com captações utilizadas para abastecimento público.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6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E.01-C:</w:t>
            </w:r>
            <w:r w:rsidRPr="00BE215F">
              <w:rPr>
                <w:rFonts w:ascii="Arial" w:hAnsi="Arial" w:cs="Arial"/>
                <w:sz w:val="18"/>
                <w:szCs w:val="18"/>
              </w:rPr>
              <w:t xml:space="preserve"> IVA - Índice de Qualidade das Águas para a Proteção da Vida Aquática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IVA é um índice que tem como objetivo de avaliar a qualidade das águas para fins de proteção da fauna e flora em geral, diferenciado, portanto, de um índice para avaliação da água para o consumo humano e recreação de contato primário. O IVA leva em consideração a presença e a concentração de contaminantes tóxicos (cobre, zinco, chumbo, cromo, mercúrio, níquel, cádmio, surfactantes, fenóis), seu efeito sobre os organismos aquáticos (toxicidade) e duas das variáveis consideradas essenciais para a biota (pH e oxigênio dissolvido).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0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E.01-D:</w:t>
            </w:r>
            <w:r w:rsidRPr="00BE215F">
              <w:rPr>
                <w:rFonts w:ascii="Arial" w:hAnsi="Arial" w:cs="Arial"/>
                <w:sz w:val="18"/>
                <w:szCs w:val="18"/>
              </w:rPr>
              <w:t xml:space="preserve"> IET - Índice de Estado Trófico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IET é definido como índice do estado trófico, e tem por finalidade classificar os corpos d’água em diferentes graus de trofia, ou seja, avalia a qualidade da água quanto ao enriquecimento por nutrientes e seu consequente efeito relacionado ao crescimento excessivo das algas ou ao aumento da infestação de macrófitas aquáticas. Para o cálculo do IET, são consideradas as variáveis clorofila-a e fósforo total.</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44"/>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E.01-E:</w:t>
            </w:r>
            <w:r w:rsidRPr="00BE215F">
              <w:rPr>
                <w:rFonts w:ascii="Arial" w:hAnsi="Arial" w:cs="Arial"/>
                <w:sz w:val="18"/>
                <w:szCs w:val="18"/>
              </w:rPr>
              <w:t xml:space="preserve"> Proporção de amostras com OD acima 5 mg/l</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amostras com a concentração de oxigênio dissolvido acima de 5mg/L em relação a todos as amostras realizadas. O Oxigênio Dissolvido (OD) é uma variável componente do IQA, que analisada separadamente fornece informações diretas sobre a saúde do corpo hídrico. Uma adequada provisão de oxigênio dissolvido é essencial para a manutenção de processos de autodepuração em sistemas aquáticos.  Os níveis de oxigênio dissolvido também indicam a capacidade de um corpo d’água natural manter a vida aquática.</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53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E.01-F:</w:t>
            </w:r>
            <w:r w:rsidRPr="00BE215F">
              <w:rPr>
                <w:rFonts w:ascii="Arial" w:hAnsi="Arial" w:cs="Arial"/>
                <w:sz w:val="18"/>
                <w:szCs w:val="18"/>
              </w:rPr>
              <w:t xml:space="preserve"> Proporção de cursos d'água afluentes litorâneos que atendem a Resolução CONAMA 357</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de cursos d'água afluentes litorâneos que atendem a legislação. Os corpos de água que deságuam no litoral paulista são os principais responsáveis pela variação da qualidade das águas das praias, pois recebem freqüentemente contribuição de esgotos domésticos não tratados. O conhecimento da qualidade sanitária dessas águas é fundamental para orientar ações de gestão ambiental.</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41"/>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E.02-A:</w:t>
            </w:r>
            <w:r w:rsidRPr="00BE215F">
              <w:rPr>
                <w:rFonts w:ascii="Arial" w:hAnsi="Arial" w:cs="Arial"/>
                <w:sz w:val="18"/>
                <w:szCs w:val="18"/>
              </w:rPr>
              <w:t xml:space="preserve"> Proporção amostras com nitrato acima de 5 mg/l</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de amostras de água subterrânea com nitrato acima de 5mg/L. A presença de nitrato em concentrações ≥ 5 mg/L em água subterrânea indica, para o estado de São Paulo, contaminação de origem unicamente antrópica (esgotos domésticos, adubos etc.) que devem ser investigadas, haja vista que concentrações acima de 10 mg/L podem ser nocivas à saúde humana (Portaria MS 518/2004). Considerando que as águas subterrâneas para abastecimento público não recebem tratamento (apenas cloração) é de extrema importância que se monitore as concentrações de nitrato.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979"/>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E.02-B:</w:t>
            </w:r>
            <w:r w:rsidRPr="00BE215F">
              <w:rPr>
                <w:rFonts w:ascii="Arial" w:hAnsi="Arial" w:cs="Arial"/>
                <w:sz w:val="18"/>
                <w:szCs w:val="18"/>
              </w:rPr>
              <w:t xml:space="preserve"> proporção de amostras desconformes em relação aos padrões de potabilidade da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de amostras desconformes em relação aos padrões de potabilidade das águas, refletindo as condições relativas à potabilidade das águas de abastecimento, com base em valores de referência pré estabelecidos para fins de consumo humano, de acordo com a portaria MS 518/2004. A má qualidade da água subterrânea para fins de abastecimento pode acarretar a danos à saúde humana e, considerando que as águas subterrâneas para abastecimento público não recebem tratamento (apenas cloração) é de extrema importância que se monitore os parâmetros estabelecidos pela portaria MS 518/2004.</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81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E.03-A:</w:t>
            </w:r>
            <w:r w:rsidRPr="00BE215F">
              <w:rPr>
                <w:rFonts w:ascii="Arial" w:hAnsi="Arial" w:cs="Arial"/>
                <w:sz w:val="18"/>
                <w:szCs w:val="18"/>
              </w:rPr>
              <w:t xml:space="preserve"> Proporção de praias costeiras monitoradas que permaneceram próprias o ano todo</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de praias costeiras monitoradas que permaneceram próprias o ano todo, e permite monitorar aportes significativos de esgotos e/ou degetos animais em águas recreacionais.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78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E.03-B:</w:t>
            </w:r>
            <w:r w:rsidRPr="00BE215F">
              <w:rPr>
                <w:rFonts w:ascii="Arial" w:hAnsi="Arial" w:cs="Arial"/>
                <w:sz w:val="18"/>
                <w:szCs w:val="18"/>
              </w:rPr>
              <w:t xml:space="preserve"> Proporção de praias de água doce monitoradas que permaneceram próprias o ano todo</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proporção de praias de água doce monitoradas que permaneceram próprias o ano todo, e permite monitorar aportes significativos de esgotos e/ou degetos animais em águas recreacionais.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882"/>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E.04-A:</w:t>
            </w:r>
            <w:r w:rsidRPr="00BE215F">
              <w:rPr>
                <w:rFonts w:ascii="Arial" w:hAnsi="Arial" w:cs="Arial"/>
                <w:sz w:val="18"/>
                <w:szCs w:val="18"/>
              </w:rPr>
              <w:t xml:space="preserve"> Disponibilidade </w:t>
            </w:r>
            <w:r w:rsidRPr="00BE215F">
              <w:rPr>
                <w:rFonts w:ascii="Arial" w:hAnsi="Arial" w:cs="Arial"/>
                <w:i/>
                <w:iCs/>
                <w:sz w:val="18"/>
                <w:szCs w:val="18"/>
              </w:rPr>
              <w:t>per capita</w:t>
            </w:r>
            <w:r w:rsidRPr="00BE215F">
              <w:rPr>
                <w:rFonts w:ascii="Arial" w:hAnsi="Arial" w:cs="Arial"/>
                <w:sz w:val="18"/>
                <w:szCs w:val="18"/>
              </w:rPr>
              <w:t xml:space="preserve"> - Qmédio em relação a população total</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A dsponibilidade per capita é a avaliação da disponibilidade de água (Q</w:t>
            </w:r>
            <w:r w:rsidRPr="00BE215F">
              <w:rPr>
                <w:rFonts w:ascii="Arial" w:hAnsi="Arial" w:cs="Arial"/>
                <w:i/>
                <w:iCs/>
                <w:sz w:val="18"/>
                <w:szCs w:val="18"/>
                <w:vertAlign w:val="subscript"/>
              </w:rPr>
              <w:t>médio</w:t>
            </w:r>
            <w:r w:rsidRPr="00BE215F">
              <w:rPr>
                <w:rFonts w:ascii="Arial" w:hAnsi="Arial" w:cs="Arial"/>
                <w:i/>
                <w:iCs/>
                <w:sz w:val="18"/>
                <w:szCs w:val="18"/>
              </w:rPr>
              <w:t>) em relação ao total de habitantes por ano, sendo o parâmetro também nomeado como potencial de água doce ou disponibilidade social da água. A consideração do potencial de água, em termos de volume per capita ou de reservas sociais, permite correlacionar a disponibilidade de água com a população. Essas relações caracterizam a riqueza ou pobreza de água em diferentes regiões.Essa estimativa apesar de não retratar a real situação de cada bacia, visto que os outros usos da água (industrial, rural, etc.) não são levados em consideração, representa uma primeira fotografia da situação da disponibilidade.</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34"/>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E.05-A:</w:t>
            </w:r>
            <w:r w:rsidRPr="00BE215F">
              <w:rPr>
                <w:rFonts w:ascii="Arial" w:hAnsi="Arial" w:cs="Arial"/>
                <w:sz w:val="18"/>
                <w:szCs w:val="18"/>
              </w:rPr>
              <w:t xml:space="preserve"> Disponibilidade </w:t>
            </w:r>
            <w:r w:rsidRPr="00BE215F">
              <w:rPr>
                <w:rFonts w:ascii="Arial" w:hAnsi="Arial" w:cs="Arial"/>
                <w:i/>
                <w:iCs/>
                <w:sz w:val="18"/>
                <w:szCs w:val="18"/>
              </w:rPr>
              <w:t>per capita</w:t>
            </w:r>
            <w:r w:rsidRPr="00BE215F">
              <w:rPr>
                <w:rFonts w:ascii="Arial" w:hAnsi="Arial" w:cs="Arial"/>
                <w:sz w:val="18"/>
                <w:szCs w:val="18"/>
              </w:rPr>
              <w:t xml:space="preserve"> de água subterrânea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 xml:space="preserve">Disponibilidade de água subterrânea (reservas explotáveis) em relação a população total. A consideração dos potenciais de água, em termos de volume per capita ou de reservas sociais, permite correlacionar a disponibilidade de água subterrânea com a população. </w:t>
            </w:r>
            <w:r w:rsidRPr="00BE215F">
              <w:rPr>
                <w:rFonts w:ascii="Arial" w:hAnsi="Arial" w:cs="Arial"/>
                <w:i/>
                <w:iCs/>
                <w:sz w:val="18"/>
                <w:szCs w:val="18"/>
              </w:rPr>
              <w:br/>
              <w:t>Essa estimativa apesar de não retratar a real situação de cada bacia, visto que os outros usos da água (industrial, rural, etc.) não são levados em consideração, representa uma primeira fotografia da situação da disponibilidade.</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E.06-A:</w:t>
            </w:r>
            <w:r w:rsidRPr="00BE215F">
              <w:rPr>
                <w:rFonts w:ascii="Arial" w:hAnsi="Arial" w:cs="Arial"/>
                <w:sz w:val="18"/>
                <w:szCs w:val="18"/>
              </w:rPr>
              <w:t xml:space="preserve"> Índice de atendimento de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Este índice representa a porcentagem da população que é efetivamente atendida por abastecimento público de água. O atendimento de água está intimamente ligado a qualidade e disponibilidade dos recursos hídricos (o atendimento deficiente pode promover o uso de captações particulares e/ou o aumento de fontes alternativas e consequentemente gera o risco de consumo de água fora dos padrões da Portaria MS 518/04). O conhecimento do Índice de Atendimento de água é de fundamental importância para a gestão dos recursos hídricos.</w:t>
            </w:r>
          </w:p>
        </w:tc>
      </w:tr>
      <w:tr w:rsidR="00BE215F" w:rsidRPr="00BE215F" w:rsidTr="00D93971">
        <w:trPr>
          <w:trHeight w:val="255"/>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i/>
                <w:iCs/>
                <w:sz w:val="18"/>
                <w:szCs w:val="18"/>
              </w:rPr>
            </w:pPr>
          </w:p>
        </w:tc>
      </w:tr>
      <w:tr w:rsidR="00BE215F" w:rsidRPr="00BE215F" w:rsidTr="00D93971">
        <w:trPr>
          <w:trHeight w:val="129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E.06-D: </w:t>
            </w:r>
            <w:r w:rsidRPr="00BE215F">
              <w:rPr>
                <w:rFonts w:ascii="Arial" w:hAnsi="Arial" w:cs="Arial"/>
                <w:sz w:val="18"/>
                <w:szCs w:val="18"/>
              </w:rPr>
              <w:t>Índice de perdas do sistema de distribuição de água</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Este parâmetro representa a porcentagem de perdas do sistema público de abastecimento de água.</w:t>
            </w:r>
            <w:r w:rsidRPr="00BE215F">
              <w:rPr>
                <w:rFonts w:ascii="Arial" w:hAnsi="Arial" w:cs="Arial"/>
                <w:i/>
                <w:iCs/>
                <w:sz w:val="18"/>
                <w:szCs w:val="18"/>
              </w:rPr>
              <w:br/>
              <w:t>O controle do índice de perdas na distribuição de água é de fundamental importância para a gestão dos recursos hídricos, em função dos problemas de atendimento da demanda.</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688"/>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E.07-A:</w:t>
            </w:r>
            <w:r w:rsidRPr="00BE215F">
              <w:rPr>
                <w:rFonts w:ascii="Arial" w:hAnsi="Arial" w:cs="Arial"/>
                <w:sz w:val="18"/>
                <w:szCs w:val="18"/>
              </w:rPr>
              <w:t xml:space="preserve"> Demanda total (superficial e subterrânea) em relação à Disponibilidade (Q</w:t>
            </w:r>
            <w:r w:rsidRPr="00BE215F">
              <w:rPr>
                <w:rFonts w:ascii="Arial" w:hAnsi="Arial" w:cs="Arial"/>
                <w:sz w:val="18"/>
                <w:szCs w:val="18"/>
                <w:vertAlign w:val="subscript"/>
              </w:rPr>
              <w:t>95%</w:t>
            </w:r>
            <w:r w:rsidRPr="00BE215F">
              <w:rPr>
                <w:rFonts w:ascii="Arial" w:hAnsi="Arial" w:cs="Arial"/>
                <w:sz w:val="18"/>
                <w:szCs w:val="18"/>
              </w:rPr>
              <w:t>)</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É o balanço entre a demanda total (superficial e subterrânea) e a disponibilidade (Q</w:t>
            </w:r>
            <w:r w:rsidRPr="00BE215F">
              <w:rPr>
                <w:rFonts w:ascii="Arial" w:hAnsi="Arial" w:cs="Arial"/>
                <w:i/>
                <w:iCs/>
                <w:sz w:val="18"/>
                <w:szCs w:val="18"/>
                <w:vertAlign w:val="subscript"/>
              </w:rPr>
              <w:t>95</w:t>
            </w:r>
            <w:r w:rsidRPr="00BE215F">
              <w:rPr>
                <w:rFonts w:ascii="Arial" w:hAnsi="Arial" w:cs="Arial"/>
                <w:i/>
                <w:iCs/>
                <w:sz w:val="18"/>
                <w:szCs w:val="18"/>
              </w:rPr>
              <w:t>), apresentado em percentual. O Q</w:t>
            </w:r>
            <w:r w:rsidRPr="00BE215F">
              <w:rPr>
                <w:rFonts w:ascii="Arial" w:hAnsi="Arial" w:cs="Arial"/>
                <w:i/>
                <w:iCs/>
                <w:sz w:val="18"/>
                <w:szCs w:val="18"/>
                <w:vertAlign w:val="subscript"/>
              </w:rPr>
              <w:t>95%</w:t>
            </w:r>
            <w:r w:rsidRPr="00BE215F">
              <w:rPr>
                <w:rFonts w:ascii="Arial" w:hAnsi="Arial" w:cs="Arial"/>
                <w:i/>
                <w:iCs/>
                <w:sz w:val="18"/>
                <w:szCs w:val="18"/>
              </w:rPr>
              <w:t xml:space="preserve"> representa a vazão disponível em 95% do tempo na bacia. Vale lembrar que representa a vazão "natural" (sem interferências) das bacias. O conhecimento do equilíbrio entre demanda e disponibilidade é de fundamental importância para a gestão dos recursos hídricos, visto que correlaciona a quantidade de água consumida e a quantidade que está disponível. Vale lembrar que, na ausência de dados da demanda total estimada para o Estado de São Paulo, adota-se os dados de vazão total outorgada. Dessa forma, o valor outorgado representa somente uma parcela da demanda real (passível de outorga e efetivamente outorgada), devendo a análise do balanço ser realizada de forma cuidadosa e com as devidas ressalvas.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674"/>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E.07-B: </w:t>
            </w:r>
            <w:r w:rsidRPr="00BE215F">
              <w:rPr>
                <w:rFonts w:ascii="Arial" w:hAnsi="Arial" w:cs="Arial"/>
                <w:sz w:val="18"/>
                <w:szCs w:val="18"/>
              </w:rPr>
              <w:t>Demanda total (superficial e subterrânea) em relação à  Disponibilidade (Qmédio)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É o balanço entre demanda total (superficial e subterrânea) em relação a disponibilidade (Q</w:t>
            </w:r>
            <w:r w:rsidRPr="00BE215F">
              <w:rPr>
                <w:rFonts w:ascii="Arial" w:hAnsi="Arial" w:cs="Arial"/>
                <w:i/>
                <w:iCs/>
                <w:sz w:val="18"/>
                <w:szCs w:val="18"/>
                <w:vertAlign w:val="subscript"/>
              </w:rPr>
              <w:t>médio</w:t>
            </w:r>
            <w:r w:rsidRPr="00BE215F">
              <w:rPr>
                <w:rFonts w:ascii="Arial" w:hAnsi="Arial" w:cs="Arial"/>
                <w:i/>
                <w:iCs/>
                <w:sz w:val="18"/>
                <w:szCs w:val="18"/>
              </w:rPr>
              <w:t xml:space="preserve"> ou Vazão Média de Longo Período).</w:t>
            </w:r>
            <w:r w:rsidRPr="00BE215F">
              <w:rPr>
                <w:rFonts w:ascii="Arial" w:hAnsi="Arial" w:cs="Arial"/>
                <w:i/>
                <w:iCs/>
                <w:sz w:val="18"/>
                <w:szCs w:val="18"/>
              </w:rPr>
              <w:br/>
              <w:t>O Q</w:t>
            </w:r>
            <w:r w:rsidRPr="00BE215F">
              <w:rPr>
                <w:rFonts w:ascii="Arial" w:hAnsi="Arial" w:cs="Arial"/>
                <w:i/>
                <w:iCs/>
                <w:sz w:val="18"/>
                <w:szCs w:val="18"/>
                <w:vertAlign w:val="subscript"/>
              </w:rPr>
              <w:t>médio</w:t>
            </w:r>
            <w:r w:rsidRPr="00BE215F">
              <w:rPr>
                <w:rFonts w:ascii="Arial" w:hAnsi="Arial" w:cs="Arial"/>
                <w:i/>
                <w:iCs/>
                <w:sz w:val="18"/>
                <w:szCs w:val="18"/>
              </w:rPr>
              <w:t xml:space="preserve"> representa é a vazão média de água presente na bacia durante o ano. É considerado um volume menos restritivo ou conservador, e, são valores mais representativos em bacias que possuem regularização da vazão. O parâmetro visa identificar situações críticas ou potenciais de conflito, sendo essencial para gestão de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832"/>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E.07-C:</w:t>
            </w:r>
            <w:r w:rsidRPr="00BE215F">
              <w:rPr>
                <w:rFonts w:ascii="Arial" w:hAnsi="Arial" w:cs="Arial"/>
                <w:sz w:val="18"/>
                <w:szCs w:val="18"/>
              </w:rPr>
              <w:t xml:space="preserve"> Demanda superficial em relação à vazão mínima superifcial (Q</w:t>
            </w:r>
            <w:r w:rsidRPr="00BE215F">
              <w:rPr>
                <w:rFonts w:ascii="Arial" w:hAnsi="Arial" w:cs="Arial"/>
                <w:sz w:val="18"/>
                <w:szCs w:val="18"/>
                <w:vertAlign w:val="subscript"/>
              </w:rPr>
              <w:t>7,10</w:t>
            </w:r>
            <w:r w:rsidRPr="00BE215F">
              <w:rPr>
                <w:rFonts w:ascii="Arial" w:hAnsi="Arial" w:cs="Arial"/>
                <w:sz w:val="18"/>
                <w:szCs w:val="18"/>
              </w:rPr>
              <w:t>)</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É o balanço entre demanda superficial e a Disponibilidade (Q</w:t>
            </w:r>
            <w:r w:rsidRPr="00BE215F">
              <w:rPr>
                <w:rFonts w:ascii="Arial" w:hAnsi="Arial" w:cs="Arial"/>
                <w:i/>
                <w:iCs/>
                <w:sz w:val="18"/>
                <w:szCs w:val="18"/>
                <w:vertAlign w:val="subscript"/>
              </w:rPr>
              <w:t xml:space="preserve"> 7,10</w:t>
            </w:r>
            <w:r w:rsidRPr="00BE215F">
              <w:rPr>
                <w:rFonts w:ascii="Arial" w:hAnsi="Arial" w:cs="Arial"/>
                <w:i/>
                <w:iCs/>
                <w:sz w:val="18"/>
                <w:szCs w:val="18"/>
              </w:rPr>
              <w:t>)</w:t>
            </w:r>
            <w:r w:rsidRPr="00BE215F">
              <w:rPr>
                <w:rFonts w:ascii="Arial" w:hAnsi="Arial" w:cs="Arial"/>
                <w:i/>
                <w:iCs/>
                <w:sz w:val="18"/>
                <w:szCs w:val="18"/>
                <w:vertAlign w:val="subscript"/>
              </w:rPr>
              <w:t>.</w:t>
            </w:r>
            <w:r w:rsidRPr="00BE215F">
              <w:rPr>
                <w:rFonts w:ascii="Arial" w:hAnsi="Arial" w:cs="Arial"/>
                <w:i/>
                <w:iCs/>
                <w:sz w:val="18"/>
                <w:szCs w:val="18"/>
              </w:rPr>
              <w:t xml:space="preserve"> </w:t>
            </w:r>
            <w:r w:rsidRPr="00BE215F">
              <w:rPr>
                <w:rFonts w:ascii="Arial" w:hAnsi="Arial" w:cs="Arial"/>
                <w:i/>
                <w:iCs/>
                <w:sz w:val="18"/>
                <w:szCs w:val="18"/>
              </w:rPr>
              <w:br/>
              <w:t>O Q</w:t>
            </w:r>
            <w:r w:rsidRPr="00BE215F">
              <w:rPr>
                <w:rFonts w:ascii="Arial" w:hAnsi="Arial" w:cs="Arial"/>
                <w:i/>
                <w:iCs/>
                <w:sz w:val="18"/>
                <w:szCs w:val="18"/>
                <w:vertAlign w:val="subscript"/>
              </w:rPr>
              <w:t>7,10</w:t>
            </w:r>
            <w:r w:rsidRPr="00BE215F">
              <w:rPr>
                <w:rFonts w:ascii="Arial" w:hAnsi="Arial" w:cs="Arial"/>
                <w:i/>
                <w:iCs/>
                <w:sz w:val="18"/>
                <w:szCs w:val="18"/>
              </w:rPr>
              <w:t xml:space="preserve"> representa a Vazão Mínima Superficial registrada em 7 dias consecutivos em um período de retorno de 10 anos. Este valor de referência é um volume restritivo e conservador utilizado pelo DAEE como base para implantação do instrumento Outorga. O conhecimento da demanda superficial em relação a produção hídrica superficial é de fundamental importância para a gestão dos recursos hídricos, visto que reflete diretamente a disponibilidade hídrica superficial podendo demonstrar situações críticas ou de conflito.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621"/>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E.07-D:</w:t>
            </w:r>
            <w:r w:rsidRPr="00BE215F">
              <w:rPr>
                <w:rFonts w:ascii="Arial" w:hAnsi="Arial" w:cs="Arial"/>
                <w:sz w:val="18"/>
                <w:szCs w:val="18"/>
              </w:rPr>
              <w:t xml:space="preserve"> Demanda subterrânea em relação às reservas explotáveis</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É o balanço entre demanda subterrânea e a disponibilidade hídrica subterrânea.A disponibilidade subterrânea é calculada através da estimativa do volume de água que está disponível para consumo sem comprometimento das reservas totais, ou seja, a Reserva Explotável é semelhante ao volume infiltrado. Segundo DAEE, essa estimativa pode ser obtida pela fórmula: Q</w:t>
            </w:r>
            <w:r w:rsidRPr="00BE215F">
              <w:rPr>
                <w:rFonts w:ascii="Arial" w:hAnsi="Arial" w:cs="Arial"/>
                <w:i/>
                <w:iCs/>
                <w:sz w:val="18"/>
                <w:szCs w:val="18"/>
                <w:vertAlign w:val="subscript"/>
              </w:rPr>
              <w:t>95%</w:t>
            </w:r>
            <w:r w:rsidRPr="00BE215F">
              <w:rPr>
                <w:rFonts w:ascii="Arial" w:hAnsi="Arial" w:cs="Arial"/>
                <w:i/>
                <w:iCs/>
                <w:sz w:val="18"/>
                <w:szCs w:val="18"/>
              </w:rPr>
              <w:t>-Q</w:t>
            </w:r>
            <w:r w:rsidRPr="00BE215F">
              <w:rPr>
                <w:rFonts w:ascii="Arial" w:hAnsi="Arial" w:cs="Arial"/>
                <w:i/>
                <w:iCs/>
                <w:sz w:val="18"/>
                <w:szCs w:val="18"/>
                <w:vertAlign w:val="subscript"/>
              </w:rPr>
              <w:t>7,10</w:t>
            </w:r>
            <w:r w:rsidRPr="00BE215F">
              <w:rPr>
                <w:rFonts w:ascii="Arial" w:hAnsi="Arial" w:cs="Arial"/>
                <w:i/>
                <w:iCs/>
                <w:sz w:val="18"/>
                <w:szCs w:val="18"/>
              </w:rPr>
              <w:t>. Tal metodologia considera apenas os aqüíferos livres, sem levar em consideração as reservas dos aqüíferos confinados, apesar do grande volume armazenado esse último possui infiltração e recarga mais lentos. O conhecimento da demanda subterrânea em relação ao total de reservas explotáveis é de fundamental importância para a gestão dos recursos hídricos, visto que reflete diretamente a disponibilidade hídrica subterrânea podendo demonstrar situações críticas ou de conflito.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678"/>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E.08-A:</w:t>
            </w:r>
            <w:r w:rsidRPr="00BE215F">
              <w:rPr>
                <w:rFonts w:ascii="Arial" w:hAnsi="Arial" w:cs="Arial"/>
                <w:sz w:val="18"/>
                <w:szCs w:val="18"/>
              </w:rPr>
              <w:t xml:space="preserve"> Ocorrência de enchente ou de inundação</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parâmetro quantifica a ocorrência de enchente ou inundação nos municípios.</w:t>
            </w:r>
            <w:r w:rsidRPr="00BE215F">
              <w:rPr>
                <w:rFonts w:ascii="Arial" w:hAnsi="Arial" w:cs="Arial"/>
                <w:i/>
                <w:iCs/>
                <w:sz w:val="18"/>
                <w:szCs w:val="18"/>
              </w:rPr>
              <w:br/>
              <w:t xml:space="preserve">Enchente é uma situação natural de transbordamento de água do leito natural, provocada pelo aumento do escoamento superficial, invadindo áreas de várzea ou do leito do rio onde há presença humana na forma de moradias. </w:t>
            </w:r>
            <w:r w:rsidRPr="00BE215F">
              <w:rPr>
                <w:rFonts w:ascii="Arial" w:hAnsi="Arial" w:cs="Arial"/>
                <w:i/>
                <w:iCs/>
                <w:sz w:val="18"/>
                <w:szCs w:val="18"/>
              </w:rPr>
              <w:br/>
              <w:t>Inundação é o acúmulo de água resultante do escoamento superficial da chuva que não foi suficientemente absorvida pelo solo. Resulta de chuvas intensas em áreas total ou parcialmente impermeabilizadas ou falhas na rede de drenagem</w:t>
            </w:r>
            <w:r w:rsidR="00E87091">
              <w:rPr>
                <w:rFonts w:ascii="Arial" w:hAnsi="Arial" w:cs="Arial"/>
                <w:i/>
                <w:iCs/>
                <w:sz w:val="18"/>
                <w:szCs w:val="18"/>
              </w:rPr>
              <w:t xml:space="preserve"> </w:t>
            </w:r>
            <w:r w:rsidRPr="00BE215F">
              <w:rPr>
                <w:rFonts w:ascii="Arial" w:hAnsi="Arial" w:cs="Arial"/>
                <w:i/>
                <w:iCs/>
                <w:sz w:val="18"/>
                <w:szCs w:val="18"/>
              </w:rPr>
              <w:t>urbana, causando transbordamentos.</w:t>
            </w:r>
            <w:r w:rsidR="00E87091">
              <w:rPr>
                <w:rFonts w:ascii="Arial" w:hAnsi="Arial" w:cs="Arial"/>
                <w:i/>
                <w:iCs/>
                <w:sz w:val="18"/>
                <w:szCs w:val="18"/>
              </w:rPr>
              <w:t xml:space="preserve"> </w:t>
            </w:r>
            <w:r w:rsidRPr="00BE215F">
              <w:rPr>
                <w:rFonts w:ascii="Arial" w:hAnsi="Arial" w:cs="Arial"/>
                <w:i/>
                <w:iCs/>
                <w:sz w:val="18"/>
                <w:szCs w:val="18"/>
              </w:rPr>
              <w:t>A ocorrência de enchentes ou inundações resulta em perdas materiais e humanas, interrupção de atividade econômica e social nas áreas inundadas, contaminação por doenças de veiculação hídrica (leptospirose e cólera, por exemplo) e contaminação da água.</w:t>
            </w:r>
          </w:p>
        </w:tc>
      </w:tr>
      <w:tr w:rsidR="00BE215F" w:rsidRPr="00BE215F" w:rsidTr="00D93971">
        <w:trPr>
          <w:trHeight w:val="199"/>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55"/>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i/>
                <w:iCs/>
                <w:sz w:val="18"/>
                <w:szCs w:val="18"/>
              </w:rPr>
            </w:pPr>
          </w:p>
        </w:tc>
      </w:tr>
      <w:tr w:rsidR="00BE215F" w:rsidRPr="00BE215F" w:rsidTr="00D93971">
        <w:trPr>
          <w:trHeight w:val="1441"/>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R.01-A: </w:t>
            </w:r>
            <w:r w:rsidRPr="00BE215F">
              <w:rPr>
                <w:rFonts w:ascii="Arial" w:hAnsi="Arial" w:cs="Arial"/>
                <w:sz w:val="18"/>
                <w:szCs w:val="18"/>
              </w:rPr>
              <w:t>Cobertura do sistema de coleta de resíduos sólidos</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parâmetro apresenta a porcentagem de domicílios que possuem coleta de resíduo sólido em relação a quantidade total de domicílios existentes na área urbana.</w:t>
            </w:r>
            <w:r w:rsidR="00E87091">
              <w:rPr>
                <w:rFonts w:ascii="Arial" w:hAnsi="Arial" w:cs="Arial"/>
                <w:i/>
                <w:iCs/>
                <w:sz w:val="18"/>
                <w:szCs w:val="18"/>
              </w:rPr>
              <w:t xml:space="preserve"> </w:t>
            </w:r>
            <w:r w:rsidRPr="00BE215F">
              <w:rPr>
                <w:rFonts w:ascii="Arial" w:hAnsi="Arial" w:cs="Arial"/>
                <w:i/>
                <w:iCs/>
                <w:sz w:val="18"/>
                <w:szCs w:val="18"/>
              </w:rPr>
              <w:t>A coleta dos resíduos sólidos é uma medida importante para controlar a contaminação das águas superficiais e subterrâneas.</w:t>
            </w:r>
            <w:r w:rsidR="00E87091">
              <w:rPr>
                <w:rFonts w:ascii="Arial" w:hAnsi="Arial" w:cs="Arial"/>
                <w:i/>
                <w:iCs/>
                <w:sz w:val="18"/>
                <w:szCs w:val="18"/>
              </w:rPr>
              <w:t xml:space="preserve"> </w:t>
            </w:r>
            <w:r w:rsidRPr="00BE215F">
              <w:rPr>
                <w:rFonts w:ascii="Arial" w:hAnsi="Arial" w:cs="Arial"/>
                <w:i/>
                <w:iCs/>
                <w:sz w:val="18"/>
                <w:szCs w:val="18"/>
              </w:rPr>
              <w:t>Este parâmetro permite dimensinar a resposta em relação à pressão exercida pela geração de resíduos sólidos.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78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R.01-B:</w:t>
            </w:r>
            <w:r w:rsidRPr="00BE215F">
              <w:rPr>
                <w:rFonts w:ascii="Arial" w:hAnsi="Arial" w:cs="Arial"/>
                <w:sz w:val="18"/>
                <w:szCs w:val="18"/>
              </w:rPr>
              <w:t xml:space="preserve"> Proporção de resíduo sólido domiciliar disposto em aterro enquadrado como ADEQUADO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porcentagem de resíduo sólido domiciliar disposto em aterro cujo IQR é enquadrado como ADEQUADO, em relação à quantidade total de resíduo sólido domiciliar gerado na UGRHI. A disposição adequada dos resíduos sólidos municipais é uma medida importante para controlar a contaminação das águas superficiais e subterrâneas. Este parâmetro permite dimensinar a resposta em relação à pressão exercida pela geração de resíduos sólidos domiciliares.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2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R.01-C:</w:t>
            </w:r>
            <w:r w:rsidRPr="00BE215F">
              <w:rPr>
                <w:rFonts w:ascii="Arial" w:hAnsi="Arial" w:cs="Arial"/>
                <w:sz w:val="18"/>
                <w:szCs w:val="18"/>
              </w:rPr>
              <w:t xml:space="preserve"> IQR da instalação de destinação final de resíduos sólidos domiciliar</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indica o IQR da instalação de destinação final do resíduo sólido domiciliar gerado no município. A disposição adequada dos resíduos sólidos municipais é uma medida importante para controlar a contaminação das águas superficiais e subterrâneas. Este parâmetro permite dimensinar a resposta em relação à pressão exercida pela geração de resíduos.</w:t>
            </w:r>
          </w:p>
        </w:tc>
      </w:tr>
      <w:tr w:rsidR="00BE215F" w:rsidRPr="00BE215F" w:rsidTr="00D93971">
        <w:trPr>
          <w:trHeight w:val="195"/>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i/>
                <w:iCs/>
                <w:sz w:val="18"/>
                <w:szCs w:val="18"/>
              </w:rPr>
            </w:pPr>
          </w:p>
        </w:tc>
      </w:tr>
      <w:tr w:rsidR="00BE215F" w:rsidRPr="00BE215F" w:rsidTr="00D93971">
        <w:trPr>
          <w:trHeight w:val="210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R.02-A: </w:t>
            </w:r>
            <w:r w:rsidRPr="00BE215F">
              <w:rPr>
                <w:rFonts w:ascii="Arial" w:hAnsi="Arial" w:cs="Arial"/>
                <w:sz w:val="18"/>
                <w:szCs w:val="18"/>
              </w:rPr>
              <w:t>Cobertura da rede coletora de efluentes sanitários</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parâmetro apresenta a porcentagem de domicílios atendidos por coleta de efluente sanitário em relação a quantidade total de domicílios existentes na área urbana.</w:t>
            </w:r>
            <w:r w:rsidRPr="00BE215F">
              <w:rPr>
                <w:rFonts w:ascii="Arial" w:hAnsi="Arial" w:cs="Arial"/>
                <w:i/>
                <w:iCs/>
                <w:sz w:val="18"/>
                <w:szCs w:val="18"/>
              </w:rPr>
              <w:br/>
              <w:t>A coleta de efluentes sanitários é uma das principais medidas para controlar a contaminação das águas superficiais e subterrâneas.</w:t>
            </w:r>
            <w:r w:rsidR="00E87091">
              <w:rPr>
                <w:rFonts w:ascii="Arial" w:hAnsi="Arial" w:cs="Arial"/>
                <w:i/>
                <w:iCs/>
                <w:sz w:val="18"/>
                <w:szCs w:val="18"/>
              </w:rPr>
              <w:t xml:space="preserve"> </w:t>
            </w:r>
            <w:r w:rsidRPr="00BE215F">
              <w:rPr>
                <w:rFonts w:ascii="Arial" w:hAnsi="Arial" w:cs="Arial"/>
                <w:i/>
                <w:iCs/>
                <w:sz w:val="18"/>
                <w:szCs w:val="18"/>
              </w:rPr>
              <w:t>Este parâmetro permite dimensinar a resposta em relação à pressão exercida pela geração de efluentes sanitários, e avaliar a necessidade de investimentos em saneamento.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R.02-B:</w:t>
            </w:r>
            <w:r w:rsidRPr="00BE215F">
              <w:rPr>
                <w:rFonts w:ascii="Arial" w:hAnsi="Arial" w:cs="Arial"/>
                <w:sz w:val="18"/>
                <w:szCs w:val="18"/>
              </w:rPr>
              <w:t xml:space="preserve"> Proporção de efluente doméstico coletado em relação ao efluente doméstico total gerado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porcentagem de efluente doméstico coletado em relação ao efluente doméstico total gerado, expresso em termos de carga orgânica poluidora doméstica coletada (em kg DBO/dia). A coleta de efluentes sanitários é uma medida importante para controlar a contaminação das águas superficiais e subterrâneas. Este parâmetro permite dimensinar a resposta em relação à pressão exercida pela geração de efluentes sanitários, e avaliar a necessidade de investimentos em saneamento.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R.02-C:</w:t>
            </w:r>
            <w:r w:rsidRPr="00BE215F">
              <w:rPr>
                <w:rFonts w:ascii="Arial" w:hAnsi="Arial" w:cs="Arial"/>
                <w:sz w:val="18"/>
                <w:szCs w:val="18"/>
              </w:rPr>
              <w:t xml:space="preserve"> Proporção de efluente doméstico tratado em relação ao efluente doméstico total gerado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 xml:space="preserve">O parâmetro apresenta a porcentagem de efluente doméstico tratado em relação ao efluente doméstico gerado, expresso em termos de carga orgânica poluidora doméstica coletada </w:t>
            </w:r>
            <w:r w:rsidRPr="00BE215F">
              <w:rPr>
                <w:rFonts w:ascii="Arial" w:hAnsi="Arial" w:cs="Arial"/>
                <w:i/>
                <w:iCs/>
                <w:sz w:val="18"/>
                <w:szCs w:val="18"/>
                <w:u w:val="single"/>
              </w:rPr>
              <w:t>e tratada</w:t>
            </w:r>
            <w:r w:rsidRPr="00BE215F">
              <w:rPr>
                <w:rFonts w:ascii="Arial" w:hAnsi="Arial" w:cs="Arial"/>
                <w:i/>
                <w:iCs/>
                <w:sz w:val="18"/>
                <w:szCs w:val="18"/>
              </w:rPr>
              <w:t xml:space="preserve"> (em kg DBO/dia). A coleta e o tratamento de efluentes sanitários são medidas importante para controlar a contaminação das águas superficiais e subterrâneas. Este parâmetro permite dimensinar a resposta em relação à pressão exercida pela geração de efluentes sanitários, e avaliar a necessidade de investimentos em saneamento.</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R.02-D:</w:t>
            </w:r>
            <w:r w:rsidRPr="00BE215F">
              <w:rPr>
                <w:rFonts w:ascii="Arial" w:hAnsi="Arial" w:cs="Arial"/>
                <w:sz w:val="18"/>
                <w:szCs w:val="18"/>
              </w:rPr>
              <w:t xml:space="preserve"> Proporção de redução da carga orgânica poluidora doméstica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porcentagem de efetiva remoção de carga orgânica poluidora doméstica, através de tratamento, em relação à carga orgânica poluidora doméstica gerada (ou carga orgânica poluidora doméstica potencial). A eficiência do tratamento de efluentes sanitários é uma importante medida para controlar a contaminação das águas superficiais e subterrâneas. Este parâmetro permite dimensionar a resposta em relação à pressão exercida pela geração de resíduos, e avaliar a necessidade de investimentos em saneamento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04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R.02-E:</w:t>
            </w:r>
            <w:r w:rsidRPr="00BE215F">
              <w:rPr>
                <w:rFonts w:ascii="Arial" w:hAnsi="Arial" w:cs="Arial"/>
                <w:sz w:val="18"/>
                <w:szCs w:val="18"/>
              </w:rPr>
              <w:t xml:space="preserve"> ICTEM - Indicador de Coleta e Tratabilidade de Esgoto da População Urbana de Município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parâmetro tem como objetivo obter a medida entre a efetiva remoção da carga orgânica poluidora, em relação à carga orgânica poluidora potencial, gerada pela população urbana, sem deixar, entretanto, de observar a importância relativa dos elementos formadores de um sistema de tratamento de esgotos (coleta, afastamento, tratamento e eficiência de tratamento e a qualidade do corpo receptor dos efluentes).</w:t>
            </w:r>
            <w:r w:rsidR="00E87091">
              <w:rPr>
                <w:rFonts w:ascii="Arial" w:hAnsi="Arial" w:cs="Arial"/>
                <w:i/>
                <w:iCs/>
                <w:sz w:val="18"/>
                <w:szCs w:val="18"/>
              </w:rPr>
              <w:t xml:space="preserve"> </w:t>
            </w:r>
            <w:r w:rsidRPr="00BE215F">
              <w:rPr>
                <w:rFonts w:ascii="Arial" w:hAnsi="Arial" w:cs="Arial"/>
                <w:i/>
                <w:iCs/>
                <w:sz w:val="18"/>
                <w:szCs w:val="18"/>
              </w:rPr>
              <w:t>O ICTEM permite comparar de maneira global a eficácia do sistema de esgotamento sanitário.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530"/>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R.03-A: </w:t>
            </w:r>
            <w:r w:rsidRPr="00BE215F">
              <w:rPr>
                <w:rFonts w:ascii="Arial" w:hAnsi="Arial" w:cs="Arial"/>
                <w:sz w:val="18"/>
                <w:szCs w:val="18"/>
              </w:rPr>
              <w:t>Proporção de áreas remediadas em relação às áreas contaminação atingiu o solo ou 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Este parâmetro apresenta a porcentagem de áreas remediadas em relação ao total de áreas contaminadas em que o contaminante atingiu o solo ou a água. A remediação das áreas contaminadas é uma medida de redução da contaminação do solo e das águas superficiais e subterrâneas. Este parâmetro permite dimensinar a resposta em relação à pressão exercida pela contaminação de solos águas.</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27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R.03-B:</w:t>
            </w:r>
            <w:r w:rsidRPr="00BE215F">
              <w:rPr>
                <w:rFonts w:ascii="Arial" w:hAnsi="Arial" w:cs="Arial"/>
                <w:sz w:val="18"/>
                <w:szCs w:val="18"/>
              </w:rPr>
              <w:t xml:space="preserve"> Quantidade de atendimentos a descarga/derrame de produtos químicos no solo ou na água</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os registros de emergências químicas que atingiram o solo ou na água. A quantificação de descargas e derrames permite avaliar a intensidade de derrames/descartes em uma determinada região, e conseguentemente determinar o grau de vulnerabilidade dos recursos hídricos nesta região.</w:t>
            </w:r>
          </w:p>
        </w:tc>
      </w:tr>
      <w:tr w:rsidR="00BE215F" w:rsidRPr="00BE215F" w:rsidTr="00D93971">
        <w:trPr>
          <w:trHeight w:val="255"/>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i/>
                <w:iCs/>
                <w:sz w:val="18"/>
                <w:szCs w:val="18"/>
              </w:rPr>
            </w:pPr>
          </w:p>
        </w:tc>
      </w:tr>
      <w:tr w:rsidR="00BE215F" w:rsidRPr="00BE215F" w:rsidTr="00D93971">
        <w:trPr>
          <w:trHeight w:val="241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R.04-A: </w:t>
            </w:r>
            <w:r w:rsidRPr="00BE215F">
              <w:rPr>
                <w:rFonts w:ascii="Arial" w:hAnsi="Arial" w:cs="Arial"/>
                <w:sz w:val="18"/>
                <w:szCs w:val="18"/>
              </w:rPr>
              <w:t>Densidade da rede de monitoramento pluviométrico</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parâmetro apresenta a densidade de estações de monitoramento do índice pluviométrico na UGRHi.</w:t>
            </w:r>
            <w:r w:rsidR="00E87091">
              <w:rPr>
                <w:rFonts w:ascii="Arial" w:hAnsi="Arial" w:cs="Arial"/>
                <w:i/>
                <w:iCs/>
                <w:sz w:val="18"/>
                <w:szCs w:val="18"/>
              </w:rPr>
              <w:t xml:space="preserve"> </w:t>
            </w:r>
            <w:r w:rsidRPr="00BE215F">
              <w:rPr>
                <w:rFonts w:ascii="Arial" w:hAnsi="Arial" w:cs="Arial"/>
                <w:i/>
                <w:iCs/>
                <w:sz w:val="18"/>
                <w:szCs w:val="18"/>
              </w:rPr>
              <w:t>O índice pluviométrico é a medida da quantidade da precipitação de água (chuva, granizo, etc.) em um determinado local durante um dado período de tempo.</w:t>
            </w:r>
            <w:r w:rsidR="00E87091">
              <w:rPr>
                <w:rFonts w:ascii="Arial" w:hAnsi="Arial" w:cs="Arial"/>
                <w:i/>
                <w:iCs/>
                <w:sz w:val="18"/>
                <w:szCs w:val="18"/>
              </w:rPr>
              <w:t xml:space="preserve"> </w:t>
            </w:r>
            <w:r w:rsidRPr="00BE215F">
              <w:rPr>
                <w:rFonts w:ascii="Arial" w:hAnsi="Arial" w:cs="Arial"/>
                <w:i/>
                <w:iCs/>
                <w:sz w:val="18"/>
                <w:szCs w:val="18"/>
              </w:rPr>
              <w:t>A densidade do monitoramento pluviométrico, quando relacionada com o parâmetro E08 - Eventos Críticos, apresenta informação relevante para qualificar os dados referentes à pluviuosidade e ao grau de resposta que o órgão responsável exerce em seu monitoramento.</w:t>
            </w:r>
          </w:p>
        </w:tc>
      </w:tr>
      <w:tr w:rsidR="00BE215F" w:rsidRPr="00BE215F" w:rsidTr="00D93971">
        <w:trPr>
          <w:trHeight w:val="195"/>
        </w:trPr>
        <w:tc>
          <w:tcPr>
            <w:tcW w:w="2480"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i/>
                <w:iCs/>
                <w:sz w:val="18"/>
                <w:szCs w:val="18"/>
              </w:rPr>
            </w:pPr>
          </w:p>
        </w:tc>
      </w:tr>
      <w:tr w:rsidR="00BE215F" w:rsidRPr="00BE215F" w:rsidTr="00D93971">
        <w:trPr>
          <w:trHeight w:val="262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 xml:space="preserve">R.04B: </w:t>
            </w:r>
            <w:r w:rsidRPr="00BE215F">
              <w:rPr>
                <w:rFonts w:ascii="Arial" w:hAnsi="Arial" w:cs="Arial"/>
                <w:sz w:val="18"/>
                <w:szCs w:val="18"/>
              </w:rPr>
              <w:t>Densidade da rede de monitoramento hidrológico</w:t>
            </w:r>
          </w:p>
        </w:tc>
        <w:tc>
          <w:tcPr>
            <w:tcW w:w="196" w:type="dxa"/>
            <w:tcBorders>
              <w:top w:val="nil"/>
              <w:left w:val="nil"/>
              <w:bottom w:val="nil"/>
              <w:right w:val="nil"/>
            </w:tcBorders>
            <w:shd w:val="clear" w:color="auto" w:fill="auto"/>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auto" w:fill="auto"/>
            <w:vAlign w:val="center"/>
            <w:hideMark/>
          </w:tcPr>
          <w:p w:rsidR="00BE215F" w:rsidRPr="00BE215F" w:rsidRDefault="00BE215F" w:rsidP="00E87091">
            <w:pPr>
              <w:jc w:val="both"/>
              <w:rPr>
                <w:rFonts w:ascii="Arial" w:hAnsi="Arial" w:cs="Arial"/>
                <w:i/>
                <w:iCs/>
                <w:sz w:val="18"/>
                <w:szCs w:val="18"/>
              </w:rPr>
            </w:pPr>
            <w:r w:rsidRPr="00BE215F">
              <w:rPr>
                <w:rFonts w:ascii="Arial" w:hAnsi="Arial" w:cs="Arial"/>
                <w:i/>
                <w:iCs/>
                <w:sz w:val="18"/>
                <w:szCs w:val="18"/>
              </w:rPr>
              <w:t>O índice fluviométrico abrange as medições de vazões e cotas dos rios.</w:t>
            </w:r>
            <w:r w:rsidRPr="00BE215F">
              <w:rPr>
                <w:rFonts w:ascii="Arial" w:hAnsi="Arial" w:cs="Arial"/>
                <w:i/>
                <w:iCs/>
                <w:sz w:val="18"/>
                <w:szCs w:val="18"/>
              </w:rPr>
              <w:br/>
              <w:t>Os dados fluviométricos são indispensáveis para os estudos de aproveitamentos hidroenergéticos, assim como para o planejamento de uso dos recursos hídricos, previsão de cheias, saneamento básico, abastecimento público e industrial, navegação, irrigação, transporte, e outros estudos de grande importância científica e sócio-econômica.</w:t>
            </w:r>
            <w:r w:rsidR="00E87091">
              <w:rPr>
                <w:rFonts w:ascii="Arial" w:hAnsi="Arial" w:cs="Arial"/>
                <w:i/>
                <w:iCs/>
                <w:sz w:val="18"/>
                <w:szCs w:val="18"/>
              </w:rPr>
              <w:t xml:space="preserve"> </w:t>
            </w:r>
            <w:r w:rsidRPr="00BE215F">
              <w:rPr>
                <w:rFonts w:ascii="Arial" w:hAnsi="Arial" w:cs="Arial"/>
                <w:i/>
                <w:iCs/>
                <w:sz w:val="18"/>
                <w:szCs w:val="18"/>
              </w:rPr>
              <w:t>A densidade do monitoramento fluviométrico fornece informação relevante para qualificar os dados referentes à fluviuosidade e ao grau de resposta que o órgão responsável exerce em seu monitoramento.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39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R.05-B:</w:t>
            </w:r>
            <w:r w:rsidRPr="00BE215F">
              <w:rPr>
                <w:rFonts w:ascii="Arial" w:hAnsi="Arial" w:cs="Arial"/>
                <w:sz w:val="18"/>
                <w:szCs w:val="18"/>
              </w:rPr>
              <w:t xml:space="preserve"> Vazão total outorgada para captações superficiais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soma do volume de água outorgado utilizado em captações superficiais. O conhecimento da demanda outorgada superficial  é de fundamental importância para a gestão dos recursos hídricos, pois a  outorga é um dos instrumentos da Política Nacional de Recursos Hídricos e, avaliar seu andamento é importante para o controle do uso.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153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R.05-C:</w:t>
            </w:r>
            <w:r w:rsidRPr="00BE215F">
              <w:rPr>
                <w:rFonts w:ascii="Arial" w:hAnsi="Arial" w:cs="Arial"/>
                <w:sz w:val="18"/>
                <w:szCs w:val="18"/>
              </w:rPr>
              <w:t xml:space="preserve"> Vazão total outorgada para captações subterrâneas</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soma do volume de água outorgado utilizado em captações subterrâneas. O conhecimento da demanda outorgada subterrânea  é de fundamental importância para a gestão dos recursos hídricos, pois a  outorga é um dos instrumentos da Política Nacional de Recursos Hídricos e, avaliar seu andamento é importante para o controle do uso.</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780"/>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R.05-D:</w:t>
            </w:r>
            <w:r w:rsidRPr="00BE215F">
              <w:rPr>
                <w:rFonts w:ascii="Arial" w:hAnsi="Arial" w:cs="Arial"/>
                <w:sz w:val="18"/>
                <w:szCs w:val="18"/>
              </w:rPr>
              <w:t xml:space="preserve"> Quantidade outorgas concedidas para outras interferências em cursos d’água</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o nº de outorgas concedidas a outras interferências que não envolvam captações e lançamentos. Avalia  o grau de implantação da outorga, ou seja, do controle do uso dos recursos hídricos.</w:t>
            </w:r>
          </w:p>
        </w:tc>
      </w:tr>
      <w:tr w:rsidR="00BE215F" w:rsidRPr="00BE215F" w:rsidTr="00D93971">
        <w:trPr>
          <w:trHeight w:val="199"/>
        </w:trPr>
        <w:tc>
          <w:tcPr>
            <w:tcW w:w="9353" w:type="dxa"/>
            <w:gridSpan w:val="3"/>
            <w:tcBorders>
              <w:top w:val="nil"/>
              <w:left w:val="nil"/>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805"/>
        </w:trPr>
        <w:tc>
          <w:tcPr>
            <w:tcW w:w="2480" w:type="dxa"/>
            <w:tcBorders>
              <w:top w:val="nil"/>
              <w:left w:val="nil"/>
              <w:bottom w:val="nil"/>
              <w:right w:val="nil"/>
            </w:tcBorders>
            <w:shd w:val="clear" w:color="000000" w:fill="FFFF99"/>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R.05-G:</w:t>
            </w:r>
            <w:r w:rsidRPr="00BE215F">
              <w:rPr>
                <w:rFonts w:ascii="Arial" w:hAnsi="Arial" w:cs="Arial"/>
                <w:sz w:val="18"/>
                <w:szCs w:val="18"/>
              </w:rPr>
              <w:t xml:space="preserve"> Vazão outorgada para usos urbanos /  Volume estimado para Abastecimento Público</w:t>
            </w:r>
          </w:p>
        </w:tc>
        <w:tc>
          <w:tcPr>
            <w:tcW w:w="196" w:type="dxa"/>
            <w:tcBorders>
              <w:top w:val="nil"/>
              <w:left w:val="nil"/>
              <w:bottom w:val="nil"/>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relação entre a vazão total outorgada para captações de usos urbanos e o Volume estimado de água para Abastecimento Urbano. Este parâmetro pretende verificar o grau de implantação do instrumento de outorga para usos urbanos, através da comparação da vazão outorgada para este fim com a demanda urbana estimada. As diretrizes da Política Estadual de Recursos Hídricos (Lei 7.663/91) definem o abastecimento das populações como uso prioritário dos recursos hídricos. O conhecimento da demanda estimada para Abastecimento urbano é de fundamental importância para a gestão dos recursos hídricos, uma vez que o desequilíbrio entre os usos da água pode acarretar conflitos.</w:t>
            </w:r>
          </w:p>
        </w:tc>
      </w:tr>
      <w:tr w:rsidR="00BE215F" w:rsidRPr="00BE215F" w:rsidTr="00D93971">
        <w:trPr>
          <w:trHeight w:val="199"/>
        </w:trPr>
        <w:tc>
          <w:tcPr>
            <w:tcW w:w="9353" w:type="dxa"/>
            <w:gridSpan w:val="3"/>
            <w:tcBorders>
              <w:top w:val="nil"/>
              <w:left w:val="single" w:sz="4" w:space="0" w:color="FFFFFF"/>
              <w:bottom w:val="nil"/>
              <w:right w:val="nil"/>
            </w:tcBorders>
            <w:shd w:val="clear" w:color="auto" w:fill="auto"/>
            <w:vAlign w:val="center"/>
            <w:hideMark/>
          </w:tcPr>
          <w:p w:rsidR="00BE215F" w:rsidRPr="00BE215F" w:rsidRDefault="00BE215F" w:rsidP="00190C3D">
            <w:pPr>
              <w:jc w:val="both"/>
              <w:rPr>
                <w:rFonts w:ascii="Arial" w:hAnsi="Arial" w:cs="Arial"/>
                <w:b/>
                <w:bCs/>
                <w:sz w:val="18"/>
                <w:szCs w:val="18"/>
              </w:rPr>
            </w:pPr>
          </w:p>
        </w:tc>
      </w:tr>
      <w:tr w:rsidR="00BE215F" w:rsidRPr="00BE215F" w:rsidTr="00D93971">
        <w:trPr>
          <w:trHeight w:val="2295"/>
        </w:trPr>
        <w:tc>
          <w:tcPr>
            <w:tcW w:w="24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BE215F" w:rsidRPr="00BE215F" w:rsidRDefault="00BE215F" w:rsidP="00D93971">
            <w:pPr>
              <w:rPr>
                <w:rFonts w:ascii="Arial" w:hAnsi="Arial" w:cs="Arial"/>
                <w:b/>
                <w:bCs/>
                <w:sz w:val="18"/>
                <w:szCs w:val="18"/>
              </w:rPr>
            </w:pPr>
            <w:r w:rsidRPr="00BE215F">
              <w:rPr>
                <w:rFonts w:ascii="Arial" w:hAnsi="Arial" w:cs="Arial"/>
                <w:b/>
                <w:bCs/>
                <w:sz w:val="18"/>
                <w:szCs w:val="18"/>
              </w:rPr>
              <w:t>R.09-A:</w:t>
            </w:r>
            <w:r w:rsidRPr="00BE215F">
              <w:rPr>
                <w:rFonts w:ascii="Arial" w:hAnsi="Arial" w:cs="Arial"/>
                <w:sz w:val="18"/>
                <w:szCs w:val="18"/>
              </w:rPr>
              <w:t xml:space="preserve"> Quantidade de Unidades de Conservação</w:t>
            </w:r>
          </w:p>
        </w:tc>
        <w:tc>
          <w:tcPr>
            <w:tcW w:w="196" w:type="dxa"/>
            <w:tcBorders>
              <w:top w:val="nil"/>
              <w:left w:val="nil"/>
              <w:bottom w:val="single" w:sz="4" w:space="0" w:color="FFFFFF"/>
              <w:right w:val="nil"/>
            </w:tcBorders>
            <w:shd w:val="clear" w:color="000000" w:fill="FFFFFF"/>
            <w:vAlign w:val="center"/>
            <w:hideMark/>
          </w:tcPr>
          <w:p w:rsidR="00BE215F" w:rsidRPr="00BE215F" w:rsidRDefault="00BE215F" w:rsidP="00D93971">
            <w:pPr>
              <w:rPr>
                <w:rFonts w:ascii="Arial" w:hAnsi="Arial" w:cs="Arial"/>
                <w:b/>
                <w:bCs/>
                <w:sz w:val="18"/>
                <w:szCs w:val="18"/>
              </w:rPr>
            </w:pPr>
          </w:p>
        </w:tc>
        <w:tc>
          <w:tcPr>
            <w:tcW w:w="6677" w:type="dxa"/>
            <w:tcBorders>
              <w:top w:val="nil"/>
              <w:left w:val="nil"/>
              <w:bottom w:val="nil"/>
              <w:right w:val="nil"/>
            </w:tcBorders>
            <w:shd w:val="clear" w:color="000000" w:fill="FFFFFF"/>
            <w:vAlign w:val="center"/>
            <w:hideMark/>
          </w:tcPr>
          <w:p w:rsidR="00BE215F" w:rsidRPr="00BE215F" w:rsidRDefault="00BE215F" w:rsidP="00190C3D">
            <w:pPr>
              <w:jc w:val="both"/>
              <w:rPr>
                <w:rFonts w:ascii="Arial" w:hAnsi="Arial" w:cs="Arial"/>
                <w:i/>
                <w:iCs/>
                <w:sz w:val="18"/>
                <w:szCs w:val="18"/>
              </w:rPr>
            </w:pPr>
            <w:r w:rsidRPr="00BE215F">
              <w:rPr>
                <w:rFonts w:ascii="Arial" w:hAnsi="Arial" w:cs="Arial"/>
                <w:i/>
                <w:iCs/>
                <w:sz w:val="18"/>
                <w:szCs w:val="18"/>
              </w:rPr>
              <w:t>O parâmetro apresenta a quantidade de Unidades de Conservação (UCs) existentes na UGRHi. Sendo que Unidade de Conservação é o espaço territorial e seus recursos ambientais, incluindo as águas jurisdicionais, com características naturais relevantes, legalmente instituído pelo Poder Público, com objetivos de conservação e limites definidos, sob regime especial de administração, ao qual se aplicam garantias adequadas de proteção. As Unidades de Conservação desempenham um papel significativo para a manutenção da diversidade biológica, através da preservação dos seus recursos, incluindo os recursos hídricos.</w:t>
            </w:r>
          </w:p>
        </w:tc>
      </w:tr>
    </w:tbl>
    <w:p w:rsidR="00BE215F" w:rsidRPr="00BE215F" w:rsidRDefault="00BE215F" w:rsidP="00A7054A">
      <w:pPr>
        <w:jc w:val="center"/>
        <w:rPr>
          <w:rFonts w:ascii="Arial" w:hAnsi="Arial" w:cs="Arial"/>
          <w:bCs/>
          <w:sz w:val="18"/>
          <w:szCs w:val="18"/>
        </w:rPr>
      </w:pPr>
    </w:p>
    <w:p w:rsidR="00BE215F" w:rsidRPr="00BE215F" w:rsidRDefault="00BE215F" w:rsidP="00A7054A">
      <w:pPr>
        <w:jc w:val="center"/>
        <w:rPr>
          <w:rFonts w:ascii="Arial" w:hAnsi="Arial" w:cs="Arial"/>
          <w:bCs/>
          <w:sz w:val="18"/>
          <w:szCs w:val="18"/>
        </w:rPr>
      </w:pPr>
    </w:p>
    <w:sectPr w:rsidR="00BE215F" w:rsidRPr="00BE215F" w:rsidSect="00CE1021">
      <w:pgSz w:w="11906" w:h="16838"/>
      <w:pgMar w:top="1418" w:right="992"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734" w:rsidRDefault="00792734" w:rsidP="00FD063D">
      <w:r>
        <w:separator/>
      </w:r>
    </w:p>
  </w:endnote>
  <w:endnote w:type="continuationSeparator" w:id="1">
    <w:p w:rsidR="00792734" w:rsidRDefault="00792734" w:rsidP="00FD063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NewRomanPS-ItalicMT">
    <w:charset w:val="00"/>
    <w:family w:val="roman"/>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JensonPro-L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6032"/>
      <w:docPartObj>
        <w:docPartGallery w:val="Page Numbers (Bottom of Page)"/>
        <w:docPartUnique/>
      </w:docPartObj>
    </w:sdtPr>
    <w:sdtContent>
      <w:p w:rsidR="00E92D98" w:rsidRDefault="008E0DDB">
        <w:pPr>
          <w:pStyle w:val="Rodap"/>
        </w:pPr>
        <w:r>
          <w:rPr>
            <w:noProof/>
            <w:lang w:eastAsia="zh-TW"/>
          </w:rPr>
          <w:pict>
            <v:oval id="_x0000_s2049" style="position:absolute;margin-left:0;margin-top:0;width:44.25pt;height:44.25pt;rotation:-180;flip:x;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2049" inset=",0,,0">
                <w:txbxContent>
                  <w:p w:rsidR="00E92D98" w:rsidRDefault="008E0DDB">
                    <w:pPr>
                      <w:pStyle w:val="Rodap"/>
                      <w:rPr>
                        <w:color w:val="4F81BD" w:themeColor="accent1"/>
                      </w:rPr>
                    </w:pPr>
                    <w:fldSimple w:instr=" PAGE  \* MERGEFORMAT ">
                      <w:r w:rsidR="00DA1D50" w:rsidRPr="00DA1D50">
                        <w:rPr>
                          <w:noProof/>
                          <w:color w:val="4F81BD" w:themeColor="accent1"/>
                        </w:rPr>
                        <w:t>6</w:t>
                      </w:r>
                    </w:fldSimple>
                  </w:p>
                </w:txbxContent>
              </v:textbox>
              <w10:wrap anchorx="page" anchory="page"/>
            </v:oval>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734" w:rsidRDefault="00792734" w:rsidP="00FD063D">
      <w:r>
        <w:separator/>
      </w:r>
    </w:p>
  </w:footnote>
  <w:footnote w:type="continuationSeparator" w:id="1">
    <w:p w:rsidR="00792734" w:rsidRDefault="00792734" w:rsidP="00FD06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D98" w:rsidRDefault="00E92D98" w:rsidP="00ED18F2">
    <w:pPr>
      <w:pStyle w:val="Cabealho"/>
      <w:jc w:val="right"/>
    </w:pPr>
    <w:r>
      <w:tab/>
    </w:r>
    <w:r>
      <w:tab/>
      <w:t>Relatório de Situação 2011</w:t>
    </w:r>
  </w:p>
  <w:p w:rsidR="00E92D98" w:rsidRDefault="00E92D98" w:rsidP="00ED18F2">
    <w:pPr>
      <w:pStyle w:val="Cabealho"/>
      <w:jc w:val="right"/>
    </w:pPr>
    <w:r>
      <w:tab/>
      <w:t xml:space="preserve">                                                                                      CBH-Sapucaí Mirim/Grande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4005A"/>
    <w:multiLevelType w:val="hybridMultilevel"/>
    <w:tmpl w:val="5B82225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441F60"/>
    <w:multiLevelType w:val="hybridMultilevel"/>
    <w:tmpl w:val="C4C655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746F6C"/>
    <w:multiLevelType w:val="multilevel"/>
    <w:tmpl w:val="42CA991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A161C0"/>
    <w:multiLevelType w:val="hybridMultilevel"/>
    <w:tmpl w:val="964682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E0557A2"/>
    <w:multiLevelType w:val="multilevel"/>
    <w:tmpl w:val="42CA991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F85644B"/>
    <w:multiLevelType w:val="hybridMultilevel"/>
    <w:tmpl w:val="93B03D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72319DD"/>
    <w:multiLevelType w:val="hybridMultilevel"/>
    <w:tmpl w:val="17D8F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F5625D2"/>
    <w:multiLevelType w:val="multilevel"/>
    <w:tmpl w:val="22126D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F240A7"/>
    <w:multiLevelType w:val="hybridMultilevel"/>
    <w:tmpl w:val="EAEAA026"/>
    <w:lvl w:ilvl="0" w:tplc="84F2B6CA">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51729F1"/>
    <w:multiLevelType w:val="multilevel"/>
    <w:tmpl w:val="9106FC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76339B2"/>
    <w:multiLevelType w:val="hybridMultilevel"/>
    <w:tmpl w:val="351E44A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5B120E12"/>
    <w:multiLevelType w:val="hybridMultilevel"/>
    <w:tmpl w:val="95A0832A"/>
    <w:lvl w:ilvl="0" w:tplc="0B4EF27E">
      <w:start w:val="1"/>
      <w:numFmt w:val="decimal"/>
      <w:lvlText w:val="%1"/>
      <w:lvlJc w:val="left"/>
      <w:pPr>
        <w:tabs>
          <w:tab w:val="num" w:pos="720"/>
        </w:tabs>
        <w:ind w:left="720" w:hanging="360"/>
      </w:pPr>
      <w:rPr>
        <w:rFonts w:hint="default"/>
      </w:rPr>
    </w:lvl>
    <w:lvl w:ilvl="1" w:tplc="38E4075E">
      <w:numFmt w:val="none"/>
      <w:lvlText w:val=""/>
      <w:lvlJc w:val="left"/>
      <w:pPr>
        <w:tabs>
          <w:tab w:val="num" w:pos="360"/>
        </w:tabs>
      </w:pPr>
    </w:lvl>
    <w:lvl w:ilvl="2" w:tplc="0F5E0108">
      <w:numFmt w:val="none"/>
      <w:lvlText w:val=""/>
      <w:lvlJc w:val="left"/>
      <w:pPr>
        <w:tabs>
          <w:tab w:val="num" w:pos="360"/>
        </w:tabs>
      </w:pPr>
    </w:lvl>
    <w:lvl w:ilvl="3" w:tplc="E746FD30">
      <w:numFmt w:val="none"/>
      <w:lvlText w:val=""/>
      <w:lvlJc w:val="left"/>
      <w:pPr>
        <w:tabs>
          <w:tab w:val="num" w:pos="360"/>
        </w:tabs>
      </w:pPr>
    </w:lvl>
    <w:lvl w:ilvl="4" w:tplc="A2A86F20">
      <w:numFmt w:val="none"/>
      <w:lvlText w:val=""/>
      <w:lvlJc w:val="left"/>
      <w:pPr>
        <w:tabs>
          <w:tab w:val="num" w:pos="360"/>
        </w:tabs>
      </w:pPr>
    </w:lvl>
    <w:lvl w:ilvl="5" w:tplc="923A579C">
      <w:numFmt w:val="none"/>
      <w:lvlText w:val=""/>
      <w:lvlJc w:val="left"/>
      <w:pPr>
        <w:tabs>
          <w:tab w:val="num" w:pos="360"/>
        </w:tabs>
      </w:pPr>
    </w:lvl>
    <w:lvl w:ilvl="6" w:tplc="6382E15A">
      <w:numFmt w:val="none"/>
      <w:lvlText w:val=""/>
      <w:lvlJc w:val="left"/>
      <w:pPr>
        <w:tabs>
          <w:tab w:val="num" w:pos="360"/>
        </w:tabs>
      </w:pPr>
    </w:lvl>
    <w:lvl w:ilvl="7" w:tplc="F77C0DFC">
      <w:numFmt w:val="none"/>
      <w:lvlText w:val=""/>
      <w:lvlJc w:val="left"/>
      <w:pPr>
        <w:tabs>
          <w:tab w:val="num" w:pos="360"/>
        </w:tabs>
      </w:pPr>
    </w:lvl>
    <w:lvl w:ilvl="8" w:tplc="CD26B814">
      <w:numFmt w:val="none"/>
      <w:lvlText w:val=""/>
      <w:lvlJc w:val="left"/>
      <w:pPr>
        <w:tabs>
          <w:tab w:val="num" w:pos="360"/>
        </w:tabs>
      </w:pPr>
    </w:lvl>
  </w:abstractNum>
  <w:abstractNum w:abstractNumId="12">
    <w:nsid w:val="7974363E"/>
    <w:multiLevelType w:val="hybridMultilevel"/>
    <w:tmpl w:val="8C1C99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9"/>
  </w:num>
  <w:num w:numId="6">
    <w:abstractNumId w:val="8"/>
  </w:num>
  <w:num w:numId="7">
    <w:abstractNumId w:val="11"/>
  </w:num>
  <w:num w:numId="8">
    <w:abstractNumId w:val="3"/>
  </w:num>
  <w:num w:numId="9">
    <w:abstractNumId w:val="0"/>
  </w:num>
  <w:num w:numId="10">
    <w:abstractNumId w:val="5"/>
  </w:num>
  <w:num w:numId="11">
    <w:abstractNumId w:val="12"/>
  </w:num>
  <w:num w:numId="12">
    <w:abstractNumId w:val="1"/>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7498B"/>
    <w:rsid w:val="00000CC0"/>
    <w:rsid w:val="00080BF5"/>
    <w:rsid w:val="0015334F"/>
    <w:rsid w:val="00155407"/>
    <w:rsid w:val="0015664A"/>
    <w:rsid w:val="00170FF7"/>
    <w:rsid w:val="00185161"/>
    <w:rsid w:val="00190C3D"/>
    <w:rsid w:val="001B71D1"/>
    <w:rsid w:val="001E649A"/>
    <w:rsid w:val="00253875"/>
    <w:rsid w:val="00272ED2"/>
    <w:rsid w:val="002D0849"/>
    <w:rsid w:val="00321FF1"/>
    <w:rsid w:val="00332249"/>
    <w:rsid w:val="00343F4F"/>
    <w:rsid w:val="003846FB"/>
    <w:rsid w:val="00394952"/>
    <w:rsid w:val="003F2CA6"/>
    <w:rsid w:val="004441E9"/>
    <w:rsid w:val="0047545A"/>
    <w:rsid w:val="004865DB"/>
    <w:rsid w:val="00486F80"/>
    <w:rsid w:val="004C32A3"/>
    <w:rsid w:val="004D1B6A"/>
    <w:rsid w:val="004E7A9E"/>
    <w:rsid w:val="0051644D"/>
    <w:rsid w:val="005444BE"/>
    <w:rsid w:val="00544DC4"/>
    <w:rsid w:val="00554CC4"/>
    <w:rsid w:val="006C0649"/>
    <w:rsid w:val="006C1876"/>
    <w:rsid w:val="00702618"/>
    <w:rsid w:val="0076595B"/>
    <w:rsid w:val="00770A7B"/>
    <w:rsid w:val="00792734"/>
    <w:rsid w:val="0079606C"/>
    <w:rsid w:val="007C2967"/>
    <w:rsid w:val="007D00CC"/>
    <w:rsid w:val="007D379D"/>
    <w:rsid w:val="007E20F6"/>
    <w:rsid w:val="0080765F"/>
    <w:rsid w:val="008124D4"/>
    <w:rsid w:val="0081360D"/>
    <w:rsid w:val="0081781C"/>
    <w:rsid w:val="008269C7"/>
    <w:rsid w:val="008932F7"/>
    <w:rsid w:val="008B0E3D"/>
    <w:rsid w:val="008E0DDB"/>
    <w:rsid w:val="00907EB0"/>
    <w:rsid w:val="00925E35"/>
    <w:rsid w:val="00947D4B"/>
    <w:rsid w:val="00993BB5"/>
    <w:rsid w:val="009D5C92"/>
    <w:rsid w:val="00A444A0"/>
    <w:rsid w:val="00A7054A"/>
    <w:rsid w:val="00A91485"/>
    <w:rsid w:val="00AA31CC"/>
    <w:rsid w:val="00AC7254"/>
    <w:rsid w:val="00B46C8D"/>
    <w:rsid w:val="00B561D5"/>
    <w:rsid w:val="00B614DE"/>
    <w:rsid w:val="00B76AB9"/>
    <w:rsid w:val="00BE215F"/>
    <w:rsid w:val="00BF4BD3"/>
    <w:rsid w:val="00BF7545"/>
    <w:rsid w:val="00C30914"/>
    <w:rsid w:val="00C6472A"/>
    <w:rsid w:val="00C7498B"/>
    <w:rsid w:val="00CE1021"/>
    <w:rsid w:val="00CE2E68"/>
    <w:rsid w:val="00D36849"/>
    <w:rsid w:val="00D52CEF"/>
    <w:rsid w:val="00D93971"/>
    <w:rsid w:val="00DA1D50"/>
    <w:rsid w:val="00DB17AC"/>
    <w:rsid w:val="00DD668E"/>
    <w:rsid w:val="00E521CC"/>
    <w:rsid w:val="00E72C3E"/>
    <w:rsid w:val="00E8421B"/>
    <w:rsid w:val="00E87091"/>
    <w:rsid w:val="00E92D98"/>
    <w:rsid w:val="00E9746A"/>
    <w:rsid w:val="00EC1BEE"/>
    <w:rsid w:val="00ED18F2"/>
    <w:rsid w:val="00F26BB8"/>
    <w:rsid w:val="00F64998"/>
    <w:rsid w:val="00F9049E"/>
    <w:rsid w:val="00FA7549"/>
    <w:rsid w:val="00FB42AE"/>
    <w:rsid w:val="00FD063D"/>
    <w:rsid w:val="00FF254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9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7498B"/>
    <w:pPr>
      <w:keepNext/>
      <w:outlineLvl w:val="0"/>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7498B"/>
    <w:rPr>
      <w:rFonts w:ascii="Arial" w:eastAsia="Times New Roman" w:hAnsi="Arial" w:cs="Arial"/>
      <w:b/>
      <w:bCs/>
      <w:sz w:val="28"/>
      <w:szCs w:val="24"/>
      <w:lang w:eastAsia="pt-BR"/>
    </w:rPr>
  </w:style>
  <w:style w:type="paragraph" w:styleId="Corpodetexto">
    <w:name w:val="Body Text"/>
    <w:basedOn w:val="Normal"/>
    <w:link w:val="CorpodetextoChar"/>
    <w:semiHidden/>
    <w:rsid w:val="00C7498B"/>
    <w:pPr>
      <w:jc w:val="both"/>
    </w:pPr>
  </w:style>
  <w:style w:type="character" w:customStyle="1" w:styleId="CorpodetextoChar">
    <w:name w:val="Corpo de texto Char"/>
    <w:basedOn w:val="Fontepargpadro"/>
    <w:link w:val="Corpodetexto"/>
    <w:semiHidden/>
    <w:rsid w:val="00C7498B"/>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7498B"/>
    <w:pPr>
      <w:spacing w:after="120" w:line="480" w:lineRule="auto"/>
    </w:pPr>
    <w:rPr>
      <w:rFonts w:ascii="Arial" w:hAnsi="Arial"/>
      <w:szCs w:val="20"/>
    </w:rPr>
  </w:style>
  <w:style w:type="character" w:customStyle="1" w:styleId="Corpodetexto2Char">
    <w:name w:val="Corpo de texto 2 Char"/>
    <w:basedOn w:val="Fontepargpadro"/>
    <w:link w:val="Corpodetexto2"/>
    <w:rsid w:val="00C7498B"/>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C7498B"/>
    <w:rPr>
      <w:rFonts w:ascii="Tahoma" w:hAnsi="Tahoma" w:cs="Tahoma"/>
      <w:sz w:val="16"/>
      <w:szCs w:val="16"/>
    </w:rPr>
  </w:style>
  <w:style w:type="character" w:customStyle="1" w:styleId="TextodebaloChar">
    <w:name w:val="Texto de balão Char"/>
    <w:basedOn w:val="Fontepargpadro"/>
    <w:link w:val="Textodebalo"/>
    <w:uiPriority w:val="99"/>
    <w:semiHidden/>
    <w:rsid w:val="00C7498B"/>
    <w:rPr>
      <w:rFonts w:ascii="Tahoma" w:eastAsia="Times New Roman" w:hAnsi="Tahoma" w:cs="Tahoma"/>
      <w:sz w:val="16"/>
      <w:szCs w:val="16"/>
      <w:lang w:eastAsia="pt-BR"/>
    </w:rPr>
  </w:style>
  <w:style w:type="paragraph" w:styleId="PargrafodaLista">
    <w:name w:val="List Paragraph"/>
    <w:basedOn w:val="Normal"/>
    <w:uiPriority w:val="34"/>
    <w:qFormat/>
    <w:rsid w:val="00A7054A"/>
    <w:pPr>
      <w:ind w:left="720"/>
      <w:contextualSpacing/>
    </w:pPr>
  </w:style>
  <w:style w:type="paragraph" w:styleId="Recuodecorpodetexto2">
    <w:name w:val="Body Text Indent 2"/>
    <w:basedOn w:val="Normal"/>
    <w:link w:val="Recuodecorpodetexto2Char"/>
    <w:uiPriority w:val="99"/>
    <w:semiHidden/>
    <w:unhideWhenUsed/>
    <w:rsid w:val="0015334F"/>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5334F"/>
    <w:rPr>
      <w:rFonts w:ascii="Times New Roman" w:eastAsia="Times New Roman" w:hAnsi="Times New Roman" w:cs="Times New Roman"/>
      <w:sz w:val="24"/>
      <w:szCs w:val="24"/>
      <w:lang w:eastAsia="pt-BR"/>
    </w:rPr>
  </w:style>
  <w:style w:type="paragraph" w:customStyle="1" w:styleId="Default">
    <w:name w:val="Default"/>
    <w:rsid w:val="00BF7545"/>
    <w:pPr>
      <w:autoSpaceDE w:val="0"/>
      <w:autoSpaceDN w:val="0"/>
      <w:adjustRightInd w:val="0"/>
      <w:spacing w:after="0" w:line="480" w:lineRule="auto"/>
    </w:pPr>
    <w:rPr>
      <w:rFonts w:ascii="Arial" w:eastAsia="Times New Roman" w:hAnsi="Arial" w:cs="Arial"/>
      <w:color w:val="000000"/>
      <w:sz w:val="24"/>
      <w:szCs w:val="24"/>
      <w:lang w:eastAsia="pt-BR"/>
    </w:rPr>
  </w:style>
  <w:style w:type="paragraph" w:styleId="Legenda">
    <w:name w:val="caption"/>
    <w:basedOn w:val="Normal"/>
    <w:next w:val="Normal"/>
    <w:qFormat/>
    <w:rsid w:val="00BF7545"/>
    <w:pPr>
      <w:spacing w:before="60" w:after="60" w:line="480" w:lineRule="auto"/>
      <w:jc w:val="both"/>
    </w:pPr>
    <w:rPr>
      <w:rFonts w:ascii="Arial" w:hAnsi="Arial"/>
      <w:bCs/>
      <w:szCs w:val="20"/>
    </w:rPr>
  </w:style>
  <w:style w:type="paragraph" w:styleId="SemEspaamento">
    <w:name w:val="No Spacing"/>
    <w:link w:val="SemEspaamentoChar"/>
    <w:uiPriority w:val="1"/>
    <w:qFormat/>
    <w:rsid w:val="00BF7545"/>
    <w:pPr>
      <w:spacing w:after="0" w:line="480" w:lineRule="auto"/>
    </w:pPr>
    <w:rPr>
      <w:rFonts w:ascii="Calibri" w:eastAsia="Times New Roman" w:hAnsi="Calibri" w:cs="Times New Roman"/>
    </w:rPr>
  </w:style>
  <w:style w:type="character" w:customStyle="1" w:styleId="SemEspaamentoChar">
    <w:name w:val="Sem Espaçamento Char"/>
    <w:basedOn w:val="Fontepargpadro"/>
    <w:link w:val="SemEspaamento"/>
    <w:uiPriority w:val="1"/>
    <w:rsid w:val="00BF7545"/>
    <w:rPr>
      <w:rFonts w:ascii="Calibri" w:eastAsia="Times New Roman" w:hAnsi="Calibri" w:cs="Times New Roman"/>
    </w:rPr>
  </w:style>
  <w:style w:type="paragraph" w:styleId="Cabealho">
    <w:name w:val="header"/>
    <w:basedOn w:val="Normal"/>
    <w:link w:val="CabealhoChar"/>
    <w:uiPriority w:val="99"/>
    <w:semiHidden/>
    <w:unhideWhenUsed/>
    <w:rsid w:val="00FD063D"/>
    <w:pPr>
      <w:tabs>
        <w:tab w:val="center" w:pos="4252"/>
        <w:tab w:val="right" w:pos="8504"/>
      </w:tabs>
    </w:pPr>
  </w:style>
  <w:style w:type="character" w:customStyle="1" w:styleId="CabealhoChar">
    <w:name w:val="Cabeçalho Char"/>
    <w:basedOn w:val="Fontepargpadro"/>
    <w:link w:val="Cabealho"/>
    <w:uiPriority w:val="99"/>
    <w:semiHidden/>
    <w:rsid w:val="00FD063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D063D"/>
    <w:pPr>
      <w:tabs>
        <w:tab w:val="center" w:pos="4252"/>
        <w:tab w:val="right" w:pos="8504"/>
      </w:tabs>
    </w:pPr>
  </w:style>
  <w:style w:type="character" w:customStyle="1" w:styleId="RodapChar">
    <w:name w:val="Rodapé Char"/>
    <w:basedOn w:val="Fontepargpadro"/>
    <w:link w:val="Rodap"/>
    <w:uiPriority w:val="99"/>
    <w:rsid w:val="00FD063D"/>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44180493">
      <w:bodyDiv w:val="1"/>
      <w:marLeft w:val="0"/>
      <w:marRight w:val="0"/>
      <w:marTop w:val="0"/>
      <w:marBottom w:val="0"/>
      <w:divBdr>
        <w:top w:val="none" w:sz="0" w:space="0" w:color="auto"/>
        <w:left w:val="none" w:sz="0" w:space="0" w:color="auto"/>
        <w:bottom w:val="none" w:sz="0" w:space="0" w:color="auto"/>
        <w:right w:val="none" w:sz="0" w:space="0" w:color="auto"/>
      </w:divBdr>
    </w:div>
    <w:div w:id="313410018">
      <w:bodyDiv w:val="1"/>
      <w:marLeft w:val="0"/>
      <w:marRight w:val="0"/>
      <w:marTop w:val="0"/>
      <w:marBottom w:val="0"/>
      <w:divBdr>
        <w:top w:val="none" w:sz="0" w:space="0" w:color="auto"/>
        <w:left w:val="none" w:sz="0" w:space="0" w:color="auto"/>
        <w:bottom w:val="none" w:sz="0" w:space="0" w:color="auto"/>
        <w:right w:val="none" w:sz="0" w:space="0" w:color="auto"/>
      </w:divBdr>
    </w:div>
    <w:div w:id="815494058">
      <w:bodyDiv w:val="1"/>
      <w:marLeft w:val="0"/>
      <w:marRight w:val="0"/>
      <w:marTop w:val="0"/>
      <w:marBottom w:val="0"/>
      <w:divBdr>
        <w:top w:val="none" w:sz="0" w:space="0" w:color="auto"/>
        <w:left w:val="none" w:sz="0" w:space="0" w:color="auto"/>
        <w:bottom w:val="none" w:sz="0" w:space="0" w:color="auto"/>
        <w:right w:val="none" w:sz="0" w:space="0" w:color="auto"/>
      </w:divBdr>
    </w:div>
    <w:div w:id="982663953">
      <w:bodyDiv w:val="1"/>
      <w:marLeft w:val="0"/>
      <w:marRight w:val="0"/>
      <w:marTop w:val="0"/>
      <w:marBottom w:val="0"/>
      <w:divBdr>
        <w:top w:val="none" w:sz="0" w:space="0" w:color="auto"/>
        <w:left w:val="none" w:sz="0" w:space="0" w:color="auto"/>
        <w:bottom w:val="none" w:sz="0" w:space="0" w:color="auto"/>
        <w:right w:val="none" w:sz="0" w:space="0" w:color="auto"/>
      </w:divBdr>
    </w:div>
    <w:div w:id="1458530730">
      <w:bodyDiv w:val="1"/>
      <w:marLeft w:val="0"/>
      <w:marRight w:val="0"/>
      <w:marTop w:val="0"/>
      <w:marBottom w:val="0"/>
      <w:divBdr>
        <w:top w:val="none" w:sz="0" w:space="0" w:color="auto"/>
        <w:left w:val="none" w:sz="0" w:space="0" w:color="auto"/>
        <w:bottom w:val="none" w:sz="0" w:space="0" w:color="auto"/>
        <w:right w:val="none" w:sz="0" w:space="0" w:color="auto"/>
      </w:divBdr>
    </w:div>
    <w:div w:id="168639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0.png"/><Relationship Id="rId21" Type="http://schemas.openxmlformats.org/officeDocument/2006/relationships/chart" Target="charts/chart6.xml"/><Relationship Id="rId34" Type="http://schemas.openxmlformats.org/officeDocument/2006/relationships/image" Target="media/image8.png"/><Relationship Id="rId42" Type="http://schemas.openxmlformats.org/officeDocument/2006/relationships/chart" Target="charts/chart23.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1.png"/><Relationship Id="rId54" Type="http://schemas.openxmlformats.org/officeDocument/2006/relationships/chart" Target="charts/chart32.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9.png"/><Relationship Id="rId40" Type="http://schemas.openxmlformats.org/officeDocument/2006/relationships/chart" Target="charts/chart22.xml"/><Relationship Id="rId45" Type="http://schemas.openxmlformats.org/officeDocument/2006/relationships/chart" Target="charts/chart24.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27.xml"/><Relationship Id="rId57" Type="http://schemas.openxmlformats.org/officeDocument/2006/relationships/chart" Target="charts/chart35.xml"/><Relationship Id="rId61" Type="http://schemas.openxmlformats.org/officeDocument/2006/relationships/image" Target="media/image16.emf"/><Relationship Id="rId10" Type="http://schemas.openxmlformats.org/officeDocument/2006/relationships/image" Target="media/image4.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3.jpeg"/><Relationship Id="rId52" Type="http://schemas.openxmlformats.org/officeDocument/2006/relationships/chart" Target="charts/chart30.xm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image" Target="media/image12.jpeg"/><Relationship Id="rId48" Type="http://schemas.openxmlformats.org/officeDocument/2006/relationships/chart" Target="charts/chart26.xml"/><Relationship Id="rId56" Type="http://schemas.openxmlformats.org/officeDocument/2006/relationships/chart" Target="charts/chart34.xml"/><Relationship Id="rId8" Type="http://schemas.openxmlformats.org/officeDocument/2006/relationships/image" Target="media/image2.emf"/><Relationship Id="rId51" Type="http://schemas.openxmlformats.org/officeDocument/2006/relationships/chart" Target="charts/chart29.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image" Target="media/image14.jpeg"/><Relationship Id="rId59" Type="http://schemas.openxmlformats.org/officeDocument/2006/relationships/chart" Target="charts/chart37.xml"/></Relationships>
</file>

<file path=word/charts/_rels/chart1.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Servidor\Relatorio%20de%20Situa&#231;&#227;o%202011\RS%20CBH%20SMG%2011\An&#225;lise%20dos%20indicadores.xls"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Servidor\Relatorio%20de%20Situa&#231;&#227;o%202011\RS%20CBH%20SMG%2011\An&#225;lise%20dos%20indicadores.xls"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An&#225;lise%20dos%20indicadore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An&#225;lise%20dos%20indicadore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An&#225;lise%20dos%20indicadore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An&#225;lise%20dos%20indicadores.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CPD\Configura&#231;&#245;es%20locais\Temp\Rar$DI00.171\An&#225;lise%20dos%20indicadores.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I:\COMITES\CBH-SMG\Relatorio%20de%20Situa&#231;&#227;o_2011\Relat&#243;rio\An&#225;lise%20dos%20indicadores.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I:\COMITES\CBH-SMG\Relatorio%20de%20Situa&#231;&#227;o_2011\Relat&#243;rio\An&#225;lise%20dos%20indicadores.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I:\COMITES\CBH-SMG\Relatorio%20de%20Situa&#231;&#227;o_2011\Relat&#243;rio\An&#225;lise%20dos%20indicadores.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I:\COMITES\CBH-SMG\Relatorio%20de%20Situa&#231;&#227;o_2011\Relat&#243;rio\An&#225;lise%20dos%20indicador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Servidor\Relatorio%20de%20Situa&#231;&#227;o%202011\RS%20CBH%20SMG%2011\MODELO_RS_2011_ire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7739129258327346"/>
          <c:y val="4.00822311004232E-2"/>
          <c:w val="0.75883248840470285"/>
          <c:h val="0.604274465691791"/>
        </c:manualLayout>
      </c:layout>
      <c:barChart>
        <c:barDir val="col"/>
        <c:grouping val="stacked"/>
        <c:ser>
          <c:idx val="0"/>
          <c:order val="0"/>
          <c:tx>
            <c:strRef>
              <c:f>'Base de Cálculo'!$A$5</c:f>
              <c:strCache>
                <c:ptCount val="1"/>
                <c:pt idx="0">
                  <c:v>-2,2 - 0</c:v>
                </c:pt>
              </c:strCache>
            </c:strRef>
          </c:tx>
          <c:spPr>
            <a:solidFill>
              <a:srgbClr val="CFDEB0"/>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Cálculo'!$B$4:$E$4</c:f>
              <c:numCache>
                <c:formatCode>General</c:formatCode>
                <c:ptCount val="4"/>
                <c:pt idx="0">
                  <c:v>2007</c:v>
                </c:pt>
                <c:pt idx="1">
                  <c:v>2008</c:v>
                </c:pt>
                <c:pt idx="2">
                  <c:v>2009</c:v>
                </c:pt>
                <c:pt idx="3">
                  <c:v>2010</c:v>
                </c:pt>
              </c:numCache>
            </c:numRef>
          </c:cat>
          <c:val>
            <c:numRef>
              <c:f>'Base de Cálculo'!$B$5:$E$5</c:f>
              <c:numCache>
                <c:formatCode>General</c:formatCode>
                <c:ptCount val="4"/>
                <c:pt idx="0">
                  <c:v>0</c:v>
                </c:pt>
                <c:pt idx="3">
                  <c:v>1</c:v>
                </c:pt>
              </c:numCache>
            </c:numRef>
          </c:val>
        </c:ser>
        <c:ser>
          <c:idx val="1"/>
          <c:order val="1"/>
          <c:tx>
            <c:strRef>
              <c:f>'Base de Cálculo'!$A$6</c:f>
              <c:strCache>
                <c:ptCount val="1"/>
                <c:pt idx="0">
                  <c:v>0,01 - 1,33</c:v>
                </c:pt>
              </c:strCache>
            </c:strRef>
          </c:tx>
          <c:spPr>
            <a:solidFill>
              <a:srgbClr val="B3CC82"/>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Cálculo'!$B$4:$E$4</c:f>
              <c:numCache>
                <c:formatCode>General</c:formatCode>
                <c:ptCount val="4"/>
                <c:pt idx="0">
                  <c:v>2007</c:v>
                </c:pt>
                <c:pt idx="1">
                  <c:v>2008</c:v>
                </c:pt>
                <c:pt idx="2">
                  <c:v>2009</c:v>
                </c:pt>
                <c:pt idx="3">
                  <c:v>2010</c:v>
                </c:pt>
              </c:numCache>
            </c:numRef>
          </c:cat>
          <c:val>
            <c:numRef>
              <c:f>'Base de Cálculo'!$B$6:$E$6</c:f>
              <c:numCache>
                <c:formatCode>General</c:formatCode>
                <c:ptCount val="4"/>
                <c:pt idx="0">
                  <c:v>0</c:v>
                </c:pt>
                <c:pt idx="1">
                  <c:v>17</c:v>
                </c:pt>
                <c:pt idx="2">
                  <c:v>17</c:v>
                </c:pt>
                <c:pt idx="3">
                  <c:v>18</c:v>
                </c:pt>
              </c:numCache>
            </c:numRef>
          </c:val>
        </c:ser>
        <c:ser>
          <c:idx val="2"/>
          <c:order val="2"/>
          <c:tx>
            <c:strRef>
              <c:f>'Base de Cálculo'!$A$7</c:f>
              <c:strCache>
                <c:ptCount val="1"/>
                <c:pt idx="0">
                  <c:v>1,34 - 2,50</c:v>
                </c:pt>
              </c:strCache>
            </c:strRef>
          </c:tx>
          <c:spPr>
            <a:solidFill>
              <a:srgbClr val="91B44A"/>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Cálculo'!$B$4:$E$4</c:f>
              <c:numCache>
                <c:formatCode>General</c:formatCode>
                <c:ptCount val="4"/>
                <c:pt idx="0">
                  <c:v>2007</c:v>
                </c:pt>
                <c:pt idx="1">
                  <c:v>2008</c:v>
                </c:pt>
                <c:pt idx="2">
                  <c:v>2009</c:v>
                </c:pt>
                <c:pt idx="3">
                  <c:v>2010</c:v>
                </c:pt>
              </c:numCache>
            </c:numRef>
          </c:cat>
          <c:val>
            <c:numRef>
              <c:f>'Base de Cálculo'!$B$7:$E$7</c:f>
              <c:numCache>
                <c:formatCode>General</c:formatCode>
                <c:ptCount val="4"/>
                <c:pt idx="0">
                  <c:v>0</c:v>
                </c:pt>
                <c:pt idx="1">
                  <c:v>4</c:v>
                </c:pt>
                <c:pt idx="2">
                  <c:v>4</c:v>
                </c:pt>
                <c:pt idx="3">
                  <c:v>3</c:v>
                </c:pt>
              </c:numCache>
            </c:numRef>
          </c:val>
        </c:ser>
        <c:ser>
          <c:idx val="3"/>
          <c:order val="3"/>
          <c:tx>
            <c:strRef>
              <c:f>'Base de Cálculo'!$A$8</c:f>
              <c:strCache>
                <c:ptCount val="1"/>
                <c:pt idx="0">
                  <c:v>2,51 - 4,00</c:v>
                </c:pt>
              </c:strCache>
            </c:strRef>
          </c:tx>
          <c:spPr>
            <a:solidFill>
              <a:srgbClr val="708B39"/>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Cálculo'!$B$4:$E$4</c:f>
              <c:numCache>
                <c:formatCode>General</c:formatCode>
                <c:ptCount val="4"/>
                <c:pt idx="0">
                  <c:v>2007</c:v>
                </c:pt>
                <c:pt idx="1">
                  <c:v>2008</c:v>
                </c:pt>
                <c:pt idx="2">
                  <c:v>2009</c:v>
                </c:pt>
                <c:pt idx="3">
                  <c:v>2010</c:v>
                </c:pt>
              </c:numCache>
            </c:numRef>
          </c:cat>
          <c:val>
            <c:numRef>
              <c:f>'Base de Cálculo'!$B$8:$E$8</c:f>
              <c:numCache>
                <c:formatCode>General</c:formatCode>
                <c:ptCount val="4"/>
                <c:pt idx="0">
                  <c:v>0</c:v>
                </c:pt>
                <c:pt idx="1">
                  <c:v>1</c:v>
                </c:pt>
                <c:pt idx="2">
                  <c:v>1</c:v>
                </c:pt>
              </c:numCache>
            </c:numRef>
          </c:val>
        </c:ser>
        <c:ser>
          <c:idx val="4"/>
          <c:order val="4"/>
          <c:tx>
            <c:strRef>
              <c:f>'Base de Cálculo'!$A$9</c:f>
              <c:strCache>
                <c:ptCount val="1"/>
                <c:pt idx="0">
                  <c:v>4,01 - 11</c:v>
                </c:pt>
              </c:strCache>
            </c:strRef>
          </c:tx>
          <c:spPr>
            <a:solidFill>
              <a:srgbClr val="435422"/>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Cálculo'!$B$4:$E$4</c:f>
              <c:numCache>
                <c:formatCode>General</c:formatCode>
                <c:ptCount val="4"/>
                <c:pt idx="0">
                  <c:v>2007</c:v>
                </c:pt>
                <c:pt idx="1">
                  <c:v>2008</c:v>
                </c:pt>
                <c:pt idx="2">
                  <c:v>2009</c:v>
                </c:pt>
                <c:pt idx="3">
                  <c:v>2010</c:v>
                </c:pt>
              </c:numCache>
            </c:numRef>
          </c:cat>
          <c:val>
            <c:numRef>
              <c:f>'Base de Cálculo'!$B$9:$E$9</c:f>
              <c:numCache>
                <c:formatCode>General</c:formatCode>
                <c:ptCount val="4"/>
                <c:pt idx="0">
                  <c:v>0</c:v>
                </c:pt>
              </c:numCache>
            </c:numRef>
          </c:val>
        </c:ser>
        <c:overlap val="100"/>
        <c:axId val="113652480"/>
        <c:axId val="113654400"/>
      </c:barChart>
      <c:catAx>
        <c:axId val="113652480"/>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3654400"/>
        <c:crosses val="autoZero"/>
        <c:auto val="1"/>
        <c:lblAlgn val="ctr"/>
        <c:lblOffset val="100"/>
      </c:catAx>
      <c:valAx>
        <c:axId val="113654400"/>
        <c:scaling>
          <c:orientation val="minMax"/>
          <c:max val="25"/>
        </c:scaling>
        <c:axPos val="l"/>
        <c:majorGridlines/>
        <c:title>
          <c:tx>
            <c:rich>
              <a:bodyPr/>
              <a:lstStyle/>
              <a:p>
                <a:pPr>
                  <a:defRPr sz="800" b="1" i="0" u="none" strike="noStrike" baseline="0">
                    <a:solidFill>
                      <a:srgbClr val="000000"/>
                    </a:solidFill>
                    <a:latin typeface="Arial"/>
                    <a:ea typeface="Arial"/>
                    <a:cs typeface="Arial"/>
                  </a:defRPr>
                </a:pPr>
                <a:r>
                  <a:rPr lang="pt-BR"/>
                  <a:t>Nº de Municípios</a:t>
                </a:r>
              </a:p>
            </c:rich>
          </c:tx>
          <c:layout>
            <c:manualLayout>
              <c:xMode val="edge"/>
              <c:yMode val="edge"/>
              <c:x val="2.1798122692290579E-2"/>
              <c:y val="0.15609807310671578"/>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3652480"/>
        <c:crosses val="autoZero"/>
        <c:crossBetween val="between"/>
      </c:valAx>
    </c:plotArea>
    <c:legend>
      <c:legendPos val="b"/>
      <c:layout>
        <c:manualLayout>
          <c:xMode val="edge"/>
          <c:yMode val="edge"/>
          <c:x val="1.6949152542372919E-2"/>
          <c:y val="0.81463414634146369"/>
          <c:w val="0.97288135593220326"/>
          <c:h val="0.15609756097560978"/>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9736842105263191"/>
          <c:y val="0.10822556575337289"/>
          <c:w val="0.76578947368421413"/>
          <c:h val="0.71428873397225856"/>
        </c:manualLayout>
      </c:layout>
      <c:barChart>
        <c:barDir val="col"/>
        <c:grouping val="clustered"/>
        <c:ser>
          <c:idx val="0"/>
          <c:order val="0"/>
          <c:tx>
            <c:strRef>
              <c:f>'Base de Cálculo'!$A$132</c:f>
              <c:strCache>
                <c:ptCount val="1"/>
                <c:pt idx="0">
                  <c:v>FM.07-B</c:v>
                </c:pt>
              </c:strCache>
            </c:strRef>
          </c:tx>
          <c:spPr>
            <a:solidFill>
              <a:srgbClr val="FF6600"/>
            </a:solidFill>
            <a:ln w="25400">
              <a:noFill/>
            </a:ln>
          </c:spPr>
          <c:dLbls>
            <c:spPr>
              <a:noFill/>
              <a:ln w="25400">
                <a:noFill/>
              </a:ln>
            </c:spPr>
            <c:showVal val="1"/>
          </c:dLbls>
          <c:cat>
            <c:numRef>
              <c:f>'Base de Cálculo'!$B$131:$E$131</c:f>
              <c:numCache>
                <c:formatCode>0</c:formatCode>
                <c:ptCount val="4"/>
                <c:pt idx="0" formatCode="General">
                  <c:v>2005</c:v>
                </c:pt>
                <c:pt idx="1">
                  <c:v>2007</c:v>
                </c:pt>
                <c:pt idx="2">
                  <c:v>2008</c:v>
                </c:pt>
                <c:pt idx="3">
                  <c:v>2010</c:v>
                </c:pt>
              </c:numCache>
            </c:numRef>
          </c:cat>
          <c:val>
            <c:numRef>
              <c:f>'Base de Cálculo'!$B$132:$E$132</c:f>
              <c:numCache>
                <c:formatCode>General</c:formatCode>
                <c:ptCount val="4"/>
                <c:pt idx="0">
                  <c:v>3750</c:v>
                </c:pt>
                <c:pt idx="1">
                  <c:v>4178</c:v>
                </c:pt>
                <c:pt idx="2">
                  <c:v>4366</c:v>
                </c:pt>
                <c:pt idx="3">
                  <c:v>4817</c:v>
                </c:pt>
              </c:numCache>
            </c:numRef>
          </c:val>
        </c:ser>
        <c:axId val="145375232"/>
        <c:axId val="145377536"/>
      </c:barChart>
      <c:catAx>
        <c:axId val="145375232"/>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5377536"/>
        <c:crosses val="autoZero"/>
        <c:auto val="1"/>
        <c:lblAlgn val="ctr"/>
        <c:lblOffset val="100"/>
        <c:tickLblSkip val="1"/>
        <c:tickMarkSkip val="1"/>
      </c:catAx>
      <c:valAx>
        <c:axId val="145377536"/>
        <c:scaling>
          <c:orientation val="minMax"/>
        </c:scaling>
        <c:axPos val="l"/>
        <c:majorGridlines>
          <c:spPr>
            <a:ln w="3175">
              <a:solidFill>
                <a:srgbClr val="969696"/>
              </a:solidFill>
              <a:prstDash val="solid"/>
            </a:ln>
          </c:spPr>
        </c:majorGridlines>
        <c:title>
          <c:tx>
            <c:rich>
              <a:bodyPr/>
              <a:lstStyle/>
              <a:p>
                <a:pPr>
                  <a:defRPr sz="975" b="1" i="0" u="none" strike="noStrike" baseline="0">
                    <a:solidFill>
                      <a:srgbClr val="000000"/>
                    </a:solidFill>
                    <a:latin typeface="Arial"/>
                    <a:ea typeface="Arial"/>
                    <a:cs typeface="Arial"/>
                  </a:defRPr>
                </a:pPr>
                <a:r>
                  <a:rPr lang="pt-BR"/>
                  <a:t>n°</a:t>
                </a:r>
              </a:p>
            </c:rich>
          </c:tx>
          <c:layout>
            <c:manualLayout>
              <c:xMode val="edge"/>
              <c:yMode val="edge"/>
              <c:x val="5.5406766279416523E-3"/>
              <c:y val="0.4018480963549477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5375232"/>
        <c:crosses val="autoZero"/>
        <c:crossBetween val="between"/>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44524317828552"/>
          <c:y val="0.13612565445026178"/>
          <c:w val="0.66666847512064664"/>
          <c:h val="0.64397905759162744"/>
        </c:manualLayout>
      </c:layout>
      <c:barChart>
        <c:barDir val="col"/>
        <c:grouping val="clustered"/>
        <c:ser>
          <c:idx val="0"/>
          <c:order val="0"/>
          <c:tx>
            <c:strRef>
              <c:f>'[1]Base de Cálculo'!$A$146</c:f>
              <c:strCache>
                <c:ptCount val="1"/>
                <c:pt idx="0">
                  <c:v>FM.09-A</c:v>
                </c:pt>
              </c:strCache>
            </c:strRef>
          </c:tx>
          <c:spPr>
            <a:solidFill>
              <a:srgbClr val="9999FF"/>
            </a:solidFill>
            <a:ln w="25400">
              <a:noFill/>
            </a:ln>
          </c:spPr>
          <c:dLbls>
            <c:dLbl>
              <c:idx val="2"/>
              <c:spPr>
                <a:noFill/>
                <a:ln w="25400">
                  <a:noFill/>
                </a:ln>
              </c:spPr>
              <c:txPr>
                <a:bodyPr/>
                <a:lstStyle/>
                <a:p>
                  <a:pPr>
                    <a:defRPr sz="800" b="0" i="0" u="none" strike="noStrike" baseline="0">
                      <a:solidFill>
                        <a:srgbClr val="000000"/>
                      </a:solidFill>
                      <a:latin typeface="Arial"/>
                      <a:ea typeface="Arial"/>
                      <a:cs typeface="Arial"/>
                    </a:defRPr>
                  </a:pPr>
                  <a:endParaRPr lang="pt-BR"/>
                </a:p>
              </c:txPr>
            </c:dLbl>
            <c:spPr>
              <a:noFill/>
              <a:ln w="25400">
                <a:noFill/>
              </a:ln>
            </c:spPr>
            <c:txPr>
              <a:bodyPr/>
              <a:lstStyle/>
              <a:p>
                <a:pPr>
                  <a:defRPr sz="800" b="1" i="0" u="none" strike="noStrike" baseline="0">
                    <a:solidFill>
                      <a:srgbClr val="FFFFFF"/>
                    </a:solidFill>
                    <a:latin typeface="Arial"/>
                    <a:ea typeface="Arial"/>
                    <a:cs typeface="Arial"/>
                  </a:defRPr>
                </a:pPr>
                <a:endParaRPr lang="pt-BR"/>
              </a:p>
            </c:txPr>
            <c:dLblPos val="ctr"/>
            <c:showVal val="1"/>
          </c:dLbls>
          <c:cat>
            <c:numRef>
              <c:f>'[1]Base de Cálculo'!$B$145:$C$145</c:f>
              <c:numCache>
                <c:formatCode>General</c:formatCode>
                <c:ptCount val="2"/>
                <c:pt idx="0">
                  <c:v>2009</c:v>
                </c:pt>
                <c:pt idx="1">
                  <c:v>2010</c:v>
                </c:pt>
              </c:numCache>
            </c:numRef>
          </c:cat>
          <c:val>
            <c:numRef>
              <c:f>'[1]Base de Cálculo'!$B$146:$C$146</c:f>
              <c:numCache>
                <c:formatCode>General</c:formatCode>
                <c:ptCount val="2"/>
                <c:pt idx="0">
                  <c:v>2408497</c:v>
                </c:pt>
                <c:pt idx="1">
                  <c:v>2431190</c:v>
                </c:pt>
              </c:numCache>
            </c:numRef>
          </c:val>
        </c:ser>
        <c:axId val="145397632"/>
        <c:axId val="54678272"/>
      </c:barChart>
      <c:catAx>
        <c:axId val="145397632"/>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4678272"/>
        <c:crosses val="autoZero"/>
        <c:auto val="1"/>
        <c:lblAlgn val="ctr"/>
        <c:lblOffset val="100"/>
        <c:tickLblSkip val="1"/>
        <c:tickMarkSkip val="1"/>
      </c:catAx>
      <c:valAx>
        <c:axId val="54678272"/>
        <c:scaling>
          <c:orientation val="minMax"/>
          <c:max val="2500000"/>
          <c:min val="0"/>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KW</a:t>
                </a:r>
              </a:p>
            </c:rich>
          </c:tx>
          <c:layout>
            <c:manualLayout>
              <c:xMode val="edge"/>
              <c:yMode val="edge"/>
              <c:x val="1.7779146996728976E-2"/>
              <c:y val="0.4031417396584403"/>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45397632"/>
        <c:crosses val="autoZero"/>
        <c:crossBetween val="between"/>
        <c:majorUnit val="500000"/>
        <c:minorUnit val="500000"/>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83686109123646"/>
          <c:y val="0.14130472280677545"/>
          <c:w val="0.74238327560064754"/>
          <c:h val="0.63043645559945971"/>
        </c:manualLayout>
      </c:layout>
      <c:barChart>
        <c:barDir val="col"/>
        <c:grouping val="clustered"/>
        <c:ser>
          <c:idx val="0"/>
          <c:order val="0"/>
          <c:tx>
            <c:strRef>
              <c:f>'[1]Base de Cálculo'!$A$159</c:f>
              <c:strCache>
                <c:ptCount val="1"/>
                <c:pt idx="0">
                  <c:v>FM.09-B</c:v>
                </c:pt>
              </c:strCache>
            </c:strRef>
          </c:tx>
          <c:spPr>
            <a:solidFill>
              <a:srgbClr val="FF8080"/>
            </a:solidFill>
            <a:ln w="25400">
              <a:noFill/>
            </a:ln>
          </c:spPr>
          <c:dLbls>
            <c:dLbl>
              <c:idx val="2"/>
              <c:spPr>
                <a:noFill/>
                <a:ln w="25400">
                  <a:noFill/>
                </a:ln>
              </c:spPr>
              <c:txPr>
                <a:bodyPr/>
                <a:lstStyle/>
                <a:p>
                  <a:pPr>
                    <a:defRPr sz="800" b="0" i="0" u="none" strike="noStrike" baseline="0">
                      <a:solidFill>
                        <a:srgbClr val="000000"/>
                      </a:solidFill>
                      <a:latin typeface="Arial"/>
                      <a:ea typeface="Arial"/>
                      <a:cs typeface="Arial"/>
                    </a:defRPr>
                  </a:pPr>
                  <a:endParaRPr lang="pt-BR"/>
                </a:p>
              </c:txPr>
            </c:dLbl>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'[1]Base de Cálculo'!$B$158:$C$158</c:f>
              <c:numCache>
                <c:formatCode>General</c:formatCode>
                <c:ptCount val="2"/>
                <c:pt idx="0">
                  <c:v>2009</c:v>
                </c:pt>
                <c:pt idx="1">
                  <c:v>2010</c:v>
                </c:pt>
              </c:numCache>
            </c:numRef>
          </c:cat>
          <c:val>
            <c:numRef>
              <c:f>'[1]Base de Cálculo'!$B$159:$C$159</c:f>
              <c:numCache>
                <c:formatCode>General</c:formatCode>
                <c:ptCount val="2"/>
                <c:pt idx="0">
                  <c:v>218.41</c:v>
                </c:pt>
                <c:pt idx="1">
                  <c:v>217.46</c:v>
                </c:pt>
              </c:numCache>
            </c:numRef>
          </c:val>
        </c:ser>
        <c:axId val="54690944"/>
        <c:axId val="54692480"/>
      </c:barChart>
      <c:catAx>
        <c:axId val="54690944"/>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4692480"/>
        <c:crosses val="autoZero"/>
        <c:auto val="1"/>
        <c:lblAlgn val="ctr"/>
        <c:lblOffset val="100"/>
        <c:tickLblSkip val="1"/>
        <c:tickMarkSkip val="1"/>
      </c:catAx>
      <c:valAx>
        <c:axId val="54692480"/>
        <c:scaling>
          <c:orientation val="minMax"/>
          <c:max val="500"/>
          <c:min val="0"/>
        </c:scaling>
        <c:axPos val="l"/>
        <c:majorGridlines>
          <c:spPr>
            <a:ln w="3175">
              <a:solidFill>
                <a:srgbClr val="969696"/>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t-BR" sz="800" b="1" i="0" strike="noStrike">
                    <a:solidFill>
                      <a:srgbClr val="000000"/>
                    </a:solidFill>
                    <a:latin typeface="Arial"/>
                    <a:cs typeface="Arial"/>
                  </a:rPr>
                  <a:t>Km</a:t>
                </a:r>
                <a:r>
                  <a:rPr lang="pt-BR" sz="800" b="1" i="0" strike="noStrike" baseline="30000">
                    <a:solidFill>
                      <a:srgbClr val="000000"/>
                    </a:solidFill>
                    <a:latin typeface="Arial"/>
                    <a:cs typeface="Arial"/>
                  </a:rPr>
                  <a:t>2</a:t>
                </a:r>
              </a:p>
            </c:rich>
          </c:tx>
          <c:layout>
            <c:manualLayout>
              <c:xMode val="edge"/>
              <c:yMode val="edge"/>
              <c:x val="1.3850324630473821E-2"/>
              <c:y val="0.41847941138505379"/>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4690944"/>
        <c:crosses val="autoZero"/>
        <c:crossBetween val="between"/>
        <c:majorUnit val="100"/>
        <c:minorUnit val="100"/>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778526404097637"/>
          <c:y val="8.7412736650350376E-2"/>
          <c:w val="0.76510192478162486"/>
          <c:h val="0.71328793106686217"/>
        </c:manualLayout>
      </c:layout>
      <c:barChart>
        <c:barDir val="col"/>
        <c:grouping val="stacked"/>
        <c:ser>
          <c:idx val="0"/>
          <c:order val="0"/>
          <c:tx>
            <c:strRef>
              <c:f>'Base de Cálculo'!$C$146</c:f>
              <c:strCache>
                <c:ptCount val="1"/>
                <c:pt idx="0">
                  <c:v>Demanda superficial </c:v>
                </c:pt>
              </c:strCache>
            </c:strRef>
          </c:tx>
          <c:spPr>
            <a:solidFill>
              <a:srgbClr val="0066CC"/>
            </a:solidFill>
            <a:ln w="25400">
              <a:noFill/>
            </a:ln>
          </c:spPr>
          <c:dLbls>
            <c:dLbl>
              <c:idx val="0"/>
              <c:layout>
                <c:manualLayout>
                  <c:x val="1.8769403884202663E-2"/>
                  <c:y val="-7.165723200959763E-2"/>
                </c:manualLayout>
              </c:layout>
              <c:tx>
                <c:rich>
                  <a:bodyPr/>
                  <a:lstStyle/>
                  <a:p>
                    <a:pPr>
                      <a:defRPr sz="800" b="0" i="0" u="none" strike="noStrike" baseline="0">
                        <a:solidFill>
                          <a:srgbClr val="000000"/>
                        </a:solidFill>
                        <a:latin typeface="Arial"/>
                        <a:ea typeface="Arial"/>
                        <a:cs typeface="Arial"/>
                      </a:defRPr>
                    </a:pPr>
                    <a:r>
                      <a:rPr lang="pt-BR"/>
                      <a:t>84,37%</a:t>
                    </a:r>
                  </a:p>
                </c:rich>
              </c:tx>
              <c:spPr>
                <a:noFill/>
                <a:ln w="25400">
                  <a:noFill/>
                </a:ln>
              </c:spPr>
              <c:dLblPos val="ctr"/>
            </c:dLbl>
            <c:dLbl>
              <c:idx val="1"/>
              <c:layout>
                <c:manualLayout>
                  <c:x val="1.9908140073656281E-3"/>
                  <c:y val="-5.3251478830189679E-2"/>
                </c:manualLayout>
              </c:layout>
              <c:tx>
                <c:rich>
                  <a:bodyPr/>
                  <a:lstStyle/>
                  <a:p>
                    <a:pPr>
                      <a:defRPr sz="800" b="0" i="0" u="none" strike="noStrike" baseline="0">
                        <a:solidFill>
                          <a:srgbClr val="000000"/>
                        </a:solidFill>
                        <a:latin typeface="Arial"/>
                        <a:ea typeface="Arial"/>
                        <a:cs typeface="Arial"/>
                      </a:defRPr>
                    </a:pPr>
                    <a:r>
                      <a:rPr lang="pt-BR"/>
                      <a:t>83,50%</a:t>
                    </a:r>
                  </a:p>
                </c:rich>
              </c:tx>
              <c:spPr>
                <a:noFill/>
                <a:ln w="25400">
                  <a:noFill/>
                </a:ln>
              </c:spPr>
              <c:dLblPos val="ctr"/>
            </c:dLbl>
            <c:dLbl>
              <c:idx val="2"/>
              <c:layout>
                <c:manualLayout>
                  <c:x val="8.7021955054030486E-3"/>
                  <c:y val="-6.3741007228231894E-2"/>
                </c:manualLayout>
              </c:layout>
              <c:tx>
                <c:rich>
                  <a:bodyPr/>
                  <a:lstStyle/>
                  <a:p>
                    <a:pPr>
                      <a:defRPr sz="800" b="0" i="0" u="none" strike="noStrike" baseline="0">
                        <a:solidFill>
                          <a:srgbClr val="000000"/>
                        </a:solidFill>
                        <a:latin typeface="Arial"/>
                        <a:ea typeface="Arial"/>
                        <a:cs typeface="Arial"/>
                      </a:defRPr>
                    </a:pPr>
                    <a:r>
                      <a:rPr lang="pt-BR"/>
                      <a:t>83,50%</a:t>
                    </a:r>
                  </a:p>
                </c:rich>
              </c:tx>
              <c:spPr>
                <a:noFill/>
                <a:ln w="25400">
                  <a:noFill/>
                </a:ln>
              </c:spPr>
              <c:dLblPos val="ctr"/>
            </c:dLbl>
            <c:dLbl>
              <c:idx val="3"/>
              <c:layout>
                <c:manualLayout>
                  <c:x val="8.7021566106191359E-3"/>
                  <c:y val="-8.5566157729546968E-2"/>
                </c:manualLayout>
              </c:layout>
              <c:tx>
                <c:rich>
                  <a:bodyPr/>
                  <a:lstStyle/>
                  <a:p>
                    <a:pPr>
                      <a:defRPr sz="800" b="0" i="0" u="none" strike="noStrike" baseline="0">
                        <a:solidFill>
                          <a:srgbClr val="000000"/>
                        </a:solidFill>
                        <a:latin typeface="Arial"/>
                        <a:ea typeface="Arial"/>
                        <a:cs typeface="Arial"/>
                      </a:defRPr>
                    </a:pPr>
                    <a:r>
                      <a:rPr lang="pt-BR"/>
                      <a:t>79,48%</a:t>
                    </a:r>
                  </a:p>
                </c:rich>
              </c:tx>
              <c:spPr>
                <a:noFill/>
                <a:ln w="25400">
                  <a:noFill/>
                </a:ln>
              </c:spPr>
              <c:dLblPos val="ctr"/>
            </c:dLbl>
            <c:spPr>
              <a:noFill/>
              <a:ln w="25400">
                <a:noFill/>
              </a:ln>
            </c:spPr>
            <c:txPr>
              <a:bodyPr/>
              <a:lstStyle/>
              <a:p>
                <a:pPr>
                  <a:defRPr sz="800" b="0" i="0" u="none" strike="noStrike" baseline="0">
                    <a:solidFill>
                      <a:srgbClr val="FFFFFF"/>
                    </a:solidFill>
                    <a:latin typeface="Arial"/>
                    <a:ea typeface="Arial"/>
                    <a:cs typeface="Arial"/>
                  </a:defRPr>
                </a:pPr>
                <a:endParaRPr lang="pt-BR"/>
              </a:p>
            </c:txPr>
            <c:showVal val="1"/>
          </c:dLbls>
          <c:cat>
            <c:numRef>
              <c:f>'Base de Cálculo'!$B$147:$B$150</c:f>
              <c:numCache>
                <c:formatCode>General</c:formatCode>
                <c:ptCount val="4"/>
                <c:pt idx="0">
                  <c:v>2007</c:v>
                </c:pt>
                <c:pt idx="1">
                  <c:v>2008</c:v>
                </c:pt>
                <c:pt idx="2">
                  <c:v>2009</c:v>
                </c:pt>
                <c:pt idx="3">
                  <c:v>2010</c:v>
                </c:pt>
              </c:numCache>
            </c:numRef>
          </c:cat>
          <c:val>
            <c:numRef>
              <c:f>'Base de Cálculo'!$C$147:$C$150</c:f>
              <c:numCache>
                <c:formatCode>0.00</c:formatCode>
                <c:ptCount val="4"/>
                <c:pt idx="0">
                  <c:v>3.94</c:v>
                </c:pt>
                <c:pt idx="1">
                  <c:v>4.0999999999999996</c:v>
                </c:pt>
                <c:pt idx="2">
                  <c:v>4.0999999999999996</c:v>
                </c:pt>
                <c:pt idx="3" formatCode="#,##0">
                  <c:v>3.7450000000000001</c:v>
                </c:pt>
              </c:numCache>
            </c:numRef>
          </c:val>
        </c:ser>
        <c:ser>
          <c:idx val="1"/>
          <c:order val="1"/>
          <c:tx>
            <c:strRef>
              <c:f>'Base de Cálculo'!$D$146</c:f>
              <c:strCache>
                <c:ptCount val="1"/>
                <c:pt idx="0">
                  <c:v>Demanda subterrânea </c:v>
                </c:pt>
              </c:strCache>
            </c:strRef>
          </c:tx>
          <c:spPr>
            <a:solidFill>
              <a:srgbClr val="CCFFFF"/>
            </a:solidFill>
            <a:ln w="25400">
              <a:noFill/>
            </a:ln>
          </c:spPr>
          <c:dLbls>
            <c:dLbl>
              <c:idx val="0"/>
              <c:tx>
                <c:rich>
                  <a:bodyPr/>
                  <a:lstStyle/>
                  <a:p>
                    <a:r>
                      <a:rPr lang="pt-BR"/>
                      <a:t>15,63%</a:t>
                    </a:r>
                  </a:p>
                </c:rich>
              </c:tx>
            </c:dLbl>
            <c:dLbl>
              <c:idx val="1"/>
              <c:tx>
                <c:rich>
                  <a:bodyPr/>
                  <a:lstStyle/>
                  <a:p>
                    <a:r>
                      <a:rPr lang="pt-BR"/>
                      <a:t>16,50%</a:t>
                    </a:r>
                  </a:p>
                </c:rich>
              </c:tx>
            </c:dLbl>
            <c:dLbl>
              <c:idx val="2"/>
              <c:tx>
                <c:rich>
                  <a:bodyPr/>
                  <a:lstStyle/>
                  <a:p>
                    <a:r>
                      <a:rPr lang="pt-BR"/>
                      <a:t>16,50%</a:t>
                    </a:r>
                  </a:p>
                </c:rich>
              </c:tx>
            </c:dLbl>
            <c:dLbl>
              <c:idx val="3"/>
              <c:tx>
                <c:rich>
                  <a:bodyPr/>
                  <a:lstStyle/>
                  <a:p>
                    <a:r>
                      <a:rPr lang="pt-BR"/>
                      <a:t>20,52%</a:t>
                    </a:r>
                  </a:p>
                </c:rich>
              </c:tx>
            </c:dLbl>
            <c:spPr>
              <a:noFill/>
              <a:ln w="25400">
                <a:noFill/>
              </a:ln>
            </c:spPr>
            <c:txPr>
              <a:bodyPr/>
              <a:lstStyle/>
              <a:p>
                <a:pPr>
                  <a:defRPr sz="800" b="0" i="0" u="none" strike="noStrike" baseline="0">
                    <a:solidFill>
                      <a:srgbClr val="000000"/>
                    </a:solidFill>
                    <a:latin typeface="Arial"/>
                    <a:ea typeface="Arial"/>
                    <a:cs typeface="Arial"/>
                  </a:defRPr>
                </a:pPr>
                <a:endParaRPr lang="pt-BR"/>
              </a:p>
            </c:txPr>
            <c:showVal val="1"/>
          </c:dLbls>
          <c:cat>
            <c:numRef>
              <c:f>'Base de Cálculo'!$B$147:$B$150</c:f>
              <c:numCache>
                <c:formatCode>General</c:formatCode>
                <c:ptCount val="4"/>
                <c:pt idx="0">
                  <c:v>2007</c:v>
                </c:pt>
                <c:pt idx="1">
                  <c:v>2008</c:v>
                </c:pt>
                <c:pt idx="2">
                  <c:v>2009</c:v>
                </c:pt>
                <c:pt idx="3">
                  <c:v>2010</c:v>
                </c:pt>
              </c:numCache>
            </c:numRef>
          </c:cat>
          <c:val>
            <c:numRef>
              <c:f>'Base de Cálculo'!$D$147:$D$150</c:f>
              <c:numCache>
                <c:formatCode>0.00</c:formatCode>
                <c:ptCount val="4"/>
                <c:pt idx="0">
                  <c:v>0.73000000000000065</c:v>
                </c:pt>
                <c:pt idx="1">
                  <c:v>0.81</c:v>
                </c:pt>
                <c:pt idx="2">
                  <c:v>0.81</c:v>
                </c:pt>
                <c:pt idx="3" formatCode="#,##0">
                  <c:v>0.96700000000000064</c:v>
                </c:pt>
              </c:numCache>
            </c:numRef>
          </c:val>
        </c:ser>
        <c:overlap val="100"/>
        <c:axId val="54826112"/>
        <c:axId val="54827648"/>
      </c:barChart>
      <c:catAx>
        <c:axId val="548261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4827648"/>
        <c:crosses val="autoZero"/>
        <c:auto val="1"/>
        <c:lblAlgn val="ctr"/>
        <c:lblOffset val="100"/>
        <c:tickLblSkip val="1"/>
        <c:tickMarkSkip val="1"/>
      </c:catAx>
      <c:valAx>
        <c:axId val="54827648"/>
        <c:scaling>
          <c:orientation val="minMax"/>
          <c:max val="5"/>
        </c:scaling>
        <c:axPos val="l"/>
        <c:majorGridlines>
          <c:spPr>
            <a:ln w="3175">
              <a:solidFill>
                <a:srgbClr val="969696"/>
              </a:solidFill>
              <a:prstDash val="solid"/>
            </a:ln>
          </c:spPr>
        </c:majorGridlines>
        <c:title>
          <c:tx>
            <c:rich>
              <a:bodyPr/>
              <a:lstStyle/>
              <a:p>
                <a:pPr>
                  <a:defRPr sz="1000" b="1" i="0" u="none" strike="noStrike" baseline="0">
                    <a:solidFill>
                      <a:srgbClr val="000000"/>
                    </a:solidFill>
                    <a:latin typeface="Arial"/>
                    <a:ea typeface="Arial"/>
                    <a:cs typeface="Arial"/>
                  </a:defRPr>
                </a:pPr>
                <a:r>
                  <a:rPr lang="pt-BR"/>
                  <a:t>m3/s</a:t>
                </a:r>
              </a:p>
            </c:rich>
          </c:tx>
          <c:layout>
            <c:manualLayout>
              <c:xMode val="edge"/>
              <c:yMode val="edge"/>
              <c:x val="2.9154291955116349E-2"/>
              <c:y val="0.39158716450766379"/>
            </c:manualLayout>
          </c:layout>
          <c:spPr>
            <a:noFill/>
            <a:ln w="25400">
              <a:noFill/>
            </a:ln>
          </c:spPr>
        </c:title>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4826112"/>
        <c:crosses val="autoZero"/>
        <c:crossBetween val="between"/>
        <c:majorUnit val="1"/>
      </c:valAx>
      <c:spPr>
        <a:noFill/>
        <a:ln w="25400">
          <a:noFill/>
        </a:ln>
      </c:spPr>
    </c:plotArea>
    <c:legend>
      <c:legendPos val="b"/>
      <c:layout>
        <c:manualLayout>
          <c:xMode val="edge"/>
          <c:yMode val="edge"/>
          <c:x val="5.7046979865771834E-2"/>
          <c:y val="0.89860299720599435"/>
          <c:w val="0.92953161056210265"/>
          <c:h val="8.7412750825501082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9525">
      <a:noFill/>
    </a:ln>
  </c:spPr>
  <c:txPr>
    <a:bodyPr/>
    <a:lstStyle/>
    <a:p>
      <a:pPr>
        <a:defRPr sz="550" b="0" i="0" u="none" strike="noStrike" baseline="0">
          <a:solidFill>
            <a:srgbClr val="000000"/>
          </a:solidFill>
          <a:latin typeface="Arial"/>
          <a:ea typeface="Arial"/>
          <a:cs typeface="Arial"/>
        </a:defRPr>
      </a:pPr>
      <a:endParaRPr lang="pt-B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0625000000000002"/>
          <c:y val="4.4378698224852103E-2"/>
          <c:w val="0.81875000000000064"/>
          <c:h val="0.7248520710059172"/>
        </c:manualLayout>
      </c:layout>
      <c:barChart>
        <c:barDir val="col"/>
        <c:grouping val="stacked"/>
        <c:ser>
          <c:idx val="2"/>
          <c:order val="0"/>
          <c:tx>
            <c:strRef>
              <c:f>'Base de Cálculo'!$C$165</c:f>
              <c:strCache>
                <c:ptCount val="1"/>
                <c:pt idx="0">
                  <c:v>Uso Urbano</c:v>
                </c:pt>
              </c:strCache>
            </c:strRef>
          </c:tx>
          <c:spPr>
            <a:solidFill>
              <a:srgbClr val="0066CC"/>
            </a:solidFill>
            <a:ln w="25400">
              <a:noFill/>
            </a:ln>
          </c:spPr>
          <c:dLbls>
            <c:dLbl>
              <c:idx val="0"/>
              <c:layout>
                <c:manualLayout>
                  <c:x val="1.0187664041994738E-2"/>
                  <c:y val="-1.0961499635030956E-2"/>
                </c:manualLayout>
              </c:layout>
              <c:tx>
                <c:rich>
                  <a:bodyPr/>
                  <a:lstStyle/>
                  <a:p>
                    <a:r>
                      <a:rPr lang="pt-BR"/>
                      <a:t>15,67%</a:t>
                    </a:r>
                  </a:p>
                </c:rich>
              </c:tx>
              <c:dLblPos val="ctr"/>
            </c:dLbl>
            <c:dLbl>
              <c:idx val="1"/>
              <c:layout>
                <c:manualLayout>
                  <c:x val="8.6250000000000528E-3"/>
                  <c:y val="-1.1079842830297098E-2"/>
                </c:manualLayout>
              </c:layout>
              <c:tx>
                <c:rich>
                  <a:bodyPr/>
                  <a:lstStyle/>
                  <a:p>
                    <a:r>
                      <a:rPr lang="pt-BR"/>
                      <a:t>16,27%</a:t>
                    </a:r>
                  </a:p>
                </c:rich>
              </c:tx>
              <c:dLblPos val="ctr"/>
            </c:dLbl>
            <c:dLbl>
              <c:idx val="2"/>
              <c:layout>
                <c:manualLayout>
                  <c:x val="5.9979811872726448E-3"/>
                  <c:y val="-0.11794927842221622"/>
                </c:manualLayout>
              </c:layout>
              <c:tx>
                <c:rich>
                  <a:bodyPr/>
                  <a:lstStyle/>
                  <a:p>
                    <a:r>
                      <a:rPr lang="pt-BR"/>
                      <a:t>13,21%</a:t>
                    </a:r>
                  </a:p>
                </c:rich>
              </c:tx>
              <c:dLblPos val="ctr"/>
            </c:dLbl>
            <c:dLbl>
              <c:idx val="3"/>
              <c:layout>
                <c:manualLayout>
                  <c:x val="1.1749999999999969E-2"/>
                  <c:y val="-0.10658404385842322"/>
                </c:manualLayout>
              </c:layout>
              <c:tx>
                <c:rich>
                  <a:bodyPr/>
                  <a:lstStyle/>
                  <a:p>
                    <a:r>
                      <a:rPr lang="pt-BR"/>
                      <a:t>11,10%</a:t>
                    </a:r>
                  </a:p>
                </c:rich>
              </c:tx>
              <c:dLblPos val="ctr"/>
            </c:dLbl>
            <c:spPr>
              <a:noFill/>
              <a:ln w="25400">
                <a:noFill/>
              </a:ln>
            </c:spPr>
            <c:txPr>
              <a:bodyPr/>
              <a:lstStyle/>
              <a:p>
                <a:pPr>
                  <a:defRPr sz="575" b="0" i="0" u="none" strike="noStrike" baseline="0">
                    <a:solidFill>
                      <a:srgbClr val="FFFFFF"/>
                    </a:solidFill>
                    <a:latin typeface="Arial"/>
                    <a:ea typeface="Arial"/>
                    <a:cs typeface="Arial"/>
                  </a:defRPr>
                </a:pPr>
                <a:endParaRPr lang="pt-BR"/>
              </a:p>
            </c:txPr>
            <c:showVal val="1"/>
          </c:dLbls>
          <c:cat>
            <c:strRef>
              <c:f>'Base de Cálculo'!$B$166:$B$169</c:f>
              <c:strCache>
                <c:ptCount val="4"/>
                <c:pt idx="0">
                  <c:v>Demanda Total 2007</c:v>
                </c:pt>
                <c:pt idx="1">
                  <c:v>Demanda Total 2008</c:v>
                </c:pt>
                <c:pt idx="2">
                  <c:v>Demanda Total 2009</c:v>
                </c:pt>
                <c:pt idx="3">
                  <c:v>Demanda Total 2010</c:v>
                </c:pt>
              </c:strCache>
            </c:strRef>
          </c:cat>
          <c:val>
            <c:numRef>
              <c:f>'Base de Cálculo'!$C$166:$C$169</c:f>
              <c:numCache>
                <c:formatCode>#,##0.00</c:formatCode>
                <c:ptCount val="4"/>
                <c:pt idx="0">
                  <c:v>0.73000000000000065</c:v>
                </c:pt>
                <c:pt idx="1">
                  <c:v>0.81</c:v>
                </c:pt>
                <c:pt idx="2">
                  <c:v>0.82000000000000062</c:v>
                </c:pt>
                <c:pt idx="3">
                  <c:v>0.92100000000000004</c:v>
                </c:pt>
              </c:numCache>
            </c:numRef>
          </c:val>
        </c:ser>
        <c:ser>
          <c:idx val="3"/>
          <c:order val="1"/>
          <c:tx>
            <c:strRef>
              <c:f>'Base de Cálculo'!$D$165</c:f>
              <c:strCache>
                <c:ptCount val="1"/>
                <c:pt idx="0">
                  <c:v>Uso Industrial </c:v>
                </c:pt>
              </c:strCache>
            </c:strRef>
          </c:tx>
          <c:spPr>
            <a:solidFill>
              <a:srgbClr val="FF0000"/>
            </a:solidFill>
            <a:ln w="25400">
              <a:noFill/>
            </a:ln>
          </c:spPr>
          <c:dLbls>
            <c:dLbl>
              <c:idx val="0"/>
              <c:layout>
                <c:manualLayout>
                  <c:x val="1.3312664041994758E-2"/>
                  <c:y val="-0.25159763313609429"/>
                </c:manualLayout>
              </c:layout>
              <c:tx>
                <c:rich>
                  <a:bodyPr/>
                  <a:lstStyle/>
                  <a:p>
                    <a:r>
                      <a:rPr lang="pt-BR"/>
                      <a:t>71,67%</a:t>
                    </a:r>
                  </a:p>
                </c:rich>
              </c:tx>
              <c:dLblPos val="ctr"/>
            </c:dLbl>
            <c:dLbl>
              <c:idx val="1"/>
              <c:layout>
                <c:manualLayout>
                  <c:x val="1.1750000000000043E-2"/>
                  <c:y val="-0.21070990386556754"/>
                </c:manualLayout>
              </c:layout>
              <c:tx>
                <c:rich>
                  <a:bodyPr/>
                  <a:lstStyle/>
                  <a:p>
                    <a:r>
                      <a:rPr lang="pt-BR"/>
                      <a:t>67,87%</a:t>
                    </a:r>
                  </a:p>
                </c:rich>
              </c:tx>
              <c:dLblPos val="ctr"/>
            </c:dLbl>
            <c:dLbl>
              <c:idx val="2"/>
              <c:layout>
                <c:manualLayout>
                  <c:x val="7.0626640419947546E-3"/>
                  <c:y val="-0.2212393421236547"/>
                </c:manualLayout>
              </c:layout>
              <c:tx>
                <c:rich>
                  <a:bodyPr/>
                  <a:lstStyle/>
                  <a:p>
                    <a:r>
                      <a:rPr lang="pt-BR"/>
                      <a:t>66,69%</a:t>
                    </a:r>
                  </a:p>
                </c:rich>
              </c:tx>
              <c:dLblPos val="ctr"/>
            </c:dLbl>
            <c:dLbl>
              <c:idx val="3"/>
              <c:layout>
                <c:manualLayout>
                  <c:x val="8.6249999999999261E-3"/>
                  <c:y val="-0.19892745655313845"/>
                </c:manualLayout>
              </c:layout>
              <c:tx>
                <c:rich>
                  <a:bodyPr/>
                  <a:lstStyle/>
                  <a:p>
                    <a:r>
                      <a:rPr lang="pt-BR"/>
                      <a:t>67,30%
</a:t>
                    </a:r>
                  </a:p>
                </c:rich>
              </c:tx>
              <c:dLblPos val="ctr"/>
            </c:dLbl>
            <c:spPr>
              <a:noFill/>
              <a:ln w="25400">
                <a:noFill/>
              </a:ln>
            </c:spPr>
            <c:txPr>
              <a:bodyPr/>
              <a:lstStyle/>
              <a:p>
                <a:pPr>
                  <a:defRPr sz="575" b="0" i="0" u="none" strike="noStrike" baseline="0">
                    <a:solidFill>
                      <a:srgbClr val="000000"/>
                    </a:solidFill>
                    <a:latin typeface="Arial"/>
                    <a:ea typeface="Arial"/>
                    <a:cs typeface="Arial"/>
                  </a:defRPr>
                </a:pPr>
                <a:endParaRPr lang="pt-BR"/>
              </a:p>
            </c:txPr>
            <c:showVal val="1"/>
          </c:dLbls>
          <c:cat>
            <c:strRef>
              <c:f>'Base de Cálculo'!$B$166:$B$169</c:f>
              <c:strCache>
                <c:ptCount val="4"/>
                <c:pt idx="0">
                  <c:v>Demanda Total 2007</c:v>
                </c:pt>
                <c:pt idx="1">
                  <c:v>Demanda Total 2008</c:v>
                </c:pt>
                <c:pt idx="2">
                  <c:v>Demanda Total 2009</c:v>
                </c:pt>
                <c:pt idx="3">
                  <c:v>Demanda Total 2010</c:v>
                </c:pt>
              </c:strCache>
            </c:strRef>
          </c:cat>
          <c:val>
            <c:numRef>
              <c:f>'Base de Cálculo'!$D$166:$D$169</c:f>
              <c:numCache>
                <c:formatCode>#,##0.00</c:formatCode>
                <c:ptCount val="4"/>
                <c:pt idx="0">
                  <c:v>0.44</c:v>
                </c:pt>
                <c:pt idx="1">
                  <c:v>0.64000000000000112</c:v>
                </c:pt>
                <c:pt idx="2">
                  <c:v>0.63800000000000112</c:v>
                </c:pt>
                <c:pt idx="3">
                  <c:v>0.52300000000000002</c:v>
                </c:pt>
              </c:numCache>
            </c:numRef>
          </c:val>
        </c:ser>
        <c:ser>
          <c:idx val="4"/>
          <c:order val="2"/>
          <c:tx>
            <c:strRef>
              <c:f>'Base de Cálculo'!$E$165</c:f>
              <c:strCache>
                <c:ptCount val="1"/>
                <c:pt idx="0">
                  <c:v>Uso Rural </c:v>
                </c:pt>
              </c:strCache>
            </c:strRef>
          </c:tx>
          <c:spPr>
            <a:solidFill>
              <a:srgbClr val="99CC00"/>
            </a:solidFill>
            <a:ln w="25400">
              <a:noFill/>
            </a:ln>
          </c:spPr>
          <c:dLbls>
            <c:dLbl>
              <c:idx val="0"/>
              <c:layout>
                <c:manualLayout>
                  <c:x val="6.6459973753281104E-3"/>
                  <c:y val="0.27387597260401714"/>
                </c:manualLayout>
              </c:layout>
              <c:tx>
                <c:rich>
                  <a:bodyPr/>
                  <a:lstStyle/>
                  <a:p>
                    <a:r>
                      <a:rPr lang="pt-BR"/>
                      <a:t>9,44%</a:t>
                    </a:r>
                  </a:p>
                </c:rich>
              </c:tx>
              <c:dLblPos val="ctr"/>
            </c:dLbl>
            <c:dLbl>
              <c:idx val="1"/>
              <c:layout>
                <c:manualLayout>
                  <c:x val="5.5000000000000023E-3"/>
                  <c:y val="0.28482256286011676"/>
                </c:manualLayout>
              </c:layout>
              <c:tx>
                <c:rich>
                  <a:bodyPr/>
                  <a:lstStyle/>
                  <a:p>
                    <a:r>
                      <a:rPr lang="pt-BR"/>
                      <a:t>12,85%</a:t>
                    </a:r>
                  </a:p>
                </c:rich>
              </c:tx>
              <c:dLblPos val="ctr"/>
            </c:dLbl>
            <c:dLbl>
              <c:idx val="2"/>
              <c:layout>
                <c:manualLayout>
                  <c:x val="1.3312664041994719E-2"/>
                  <c:y val="0.37793505101803104"/>
                </c:manualLayout>
              </c:layout>
              <c:tx>
                <c:rich>
                  <a:bodyPr/>
                  <a:lstStyle/>
                  <a:p>
                    <a:r>
                      <a:rPr lang="pt-BR"/>
                      <a:t>16,98%</a:t>
                    </a:r>
                  </a:p>
                </c:rich>
              </c:tx>
              <c:dLblPos val="ctr"/>
            </c:dLbl>
            <c:dLbl>
              <c:idx val="3"/>
              <c:layout>
                <c:manualLayout>
                  <c:x val="5.5000000000000014E-3"/>
                  <c:y val="0.36764944322788118"/>
                </c:manualLayout>
              </c:layout>
              <c:tx>
                <c:rich>
                  <a:bodyPr/>
                  <a:lstStyle/>
                  <a:p>
                    <a:r>
                      <a:rPr lang="pt-BR"/>
                      <a:t>19,55%
</a:t>
                    </a:r>
                  </a:p>
                </c:rich>
              </c:tx>
              <c:dLblPos val="ctr"/>
            </c:dLbl>
            <c:spPr>
              <a:noFill/>
              <a:ln w="25400">
                <a:noFill/>
              </a:ln>
            </c:spPr>
            <c:txPr>
              <a:bodyPr/>
              <a:lstStyle/>
              <a:p>
                <a:pPr>
                  <a:defRPr sz="575" b="0" i="0" u="none" strike="noStrike" baseline="0">
                    <a:solidFill>
                      <a:srgbClr val="FFFFFF"/>
                    </a:solidFill>
                    <a:latin typeface="Arial"/>
                    <a:ea typeface="Arial"/>
                    <a:cs typeface="Arial"/>
                  </a:defRPr>
                </a:pPr>
                <a:endParaRPr lang="pt-BR"/>
              </a:p>
            </c:txPr>
            <c:showVal val="1"/>
          </c:dLbls>
          <c:cat>
            <c:strRef>
              <c:f>'Base de Cálculo'!$B$166:$B$169</c:f>
              <c:strCache>
                <c:ptCount val="4"/>
                <c:pt idx="0">
                  <c:v>Demanda Total 2007</c:v>
                </c:pt>
                <c:pt idx="1">
                  <c:v>Demanda Total 2008</c:v>
                </c:pt>
                <c:pt idx="2">
                  <c:v>Demanda Total 2009</c:v>
                </c:pt>
                <c:pt idx="3">
                  <c:v>Demanda Total 2010</c:v>
                </c:pt>
              </c:strCache>
            </c:strRef>
          </c:cat>
          <c:val>
            <c:numRef>
              <c:f>'Base de Cálculo'!$E$166:$E$169</c:f>
              <c:numCache>
                <c:formatCode>#,##0.00</c:formatCode>
                <c:ptCount val="4"/>
                <c:pt idx="0">
                  <c:v>3.34</c:v>
                </c:pt>
                <c:pt idx="1">
                  <c:v>3.38</c:v>
                </c:pt>
                <c:pt idx="2">
                  <c:v>3.22</c:v>
                </c:pt>
                <c:pt idx="3">
                  <c:v>3.1709999999999998</c:v>
                </c:pt>
              </c:numCache>
            </c:numRef>
          </c:val>
        </c:ser>
        <c:ser>
          <c:idx val="0"/>
          <c:order val="3"/>
          <c:tx>
            <c:strRef>
              <c:f>'Base de Cálculo'!$F$165</c:f>
              <c:strCache>
                <c:ptCount val="1"/>
                <c:pt idx="0">
                  <c:v>Outros Usos </c:v>
                </c:pt>
              </c:strCache>
            </c:strRef>
          </c:tx>
          <c:spPr>
            <a:solidFill>
              <a:srgbClr val="9999FF"/>
            </a:solidFill>
            <a:ln w="25400">
              <a:noFill/>
            </a:ln>
          </c:spPr>
          <c:dLbls>
            <c:dLbl>
              <c:idx val="0"/>
              <c:layout>
                <c:manualLayout>
                  <c:x val="9.770997375328121E-3"/>
                  <c:y val="-1.631645156781442E-2"/>
                </c:manualLayout>
              </c:layout>
              <c:tx>
                <c:rich>
                  <a:bodyPr/>
                  <a:lstStyle/>
                  <a:p>
                    <a:pPr>
                      <a:defRPr sz="575" b="0" i="0" u="none" strike="noStrike" baseline="0">
                        <a:solidFill>
                          <a:srgbClr val="000000"/>
                        </a:solidFill>
                        <a:latin typeface="Arial"/>
                        <a:ea typeface="Arial"/>
                        <a:cs typeface="Arial"/>
                      </a:defRPr>
                    </a:pPr>
                    <a:r>
                      <a:rPr lang="pt-BR"/>
                      <a:t>3,22%
</a:t>
                    </a:r>
                  </a:p>
                </c:rich>
              </c:tx>
              <c:spPr>
                <a:noFill/>
                <a:ln w="25400">
                  <a:noFill/>
                </a:ln>
              </c:spPr>
              <c:dLblPos val="ctr"/>
            </c:dLbl>
            <c:dLbl>
              <c:idx val="1"/>
              <c:layout>
                <c:manualLayout>
                  <c:x val="8.208333333333314E-3"/>
                  <c:y val="-1.8476137228408587E-2"/>
                </c:manualLayout>
              </c:layout>
              <c:tx>
                <c:rich>
                  <a:bodyPr/>
                  <a:lstStyle/>
                  <a:p>
                    <a:pPr>
                      <a:defRPr sz="575" b="0" i="0" u="none" strike="noStrike" baseline="0">
                        <a:solidFill>
                          <a:srgbClr val="000000"/>
                        </a:solidFill>
                        <a:latin typeface="Arial"/>
                        <a:ea typeface="Arial"/>
                        <a:cs typeface="Arial"/>
                      </a:defRPr>
                    </a:pPr>
                    <a:r>
                      <a:rPr lang="pt-BR"/>
                      <a:t>3,01%</a:t>
                    </a:r>
                  </a:p>
                </c:rich>
              </c:tx>
              <c:spPr>
                <a:noFill/>
                <a:ln w="25400">
                  <a:noFill/>
                </a:ln>
              </c:spPr>
              <c:dLblPos val="ctr"/>
            </c:dLbl>
            <c:dLbl>
              <c:idx val="2"/>
              <c:layout>
                <c:manualLayout>
                  <c:x val="9.7709973753281748E-3"/>
                  <c:y val="-1.6842939011321823E-2"/>
                </c:manualLayout>
              </c:layout>
              <c:tx>
                <c:rich>
                  <a:bodyPr/>
                  <a:lstStyle/>
                  <a:p>
                    <a:pPr>
                      <a:defRPr sz="575" b="0" i="0" u="none" strike="noStrike" baseline="0">
                        <a:solidFill>
                          <a:srgbClr val="000000"/>
                        </a:solidFill>
                        <a:latin typeface="Arial"/>
                        <a:ea typeface="Arial"/>
                        <a:cs typeface="Arial"/>
                      </a:defRPr>
                    </a:pPr>
                    <a:r>
                      <a:rPr lang="pt-BR"/>
                      <a:t>3,11%</a:t>
                    </a:r>
                  </a:p>
                </c:rich>
              </c:tx>
              <c:spPr>
                <a:noFill/>
                <a:ln w="25400">
                  <a:noFill/>
                </a:ln>
              </c:spPr>
              <c:dLblPos val="ctr"/>
            </c:dLbl>
            <c:dLbl>
              <c:idx val="3"/>
              <c:layout>
                <c:manualLayout>
                  <c:x val="8.2083333333334129E-3"/>
                  <c:y val="-1.7983506499557437E-2"/>
                </c:manualLayout>
              </c:layout>
              <c:tx>
                <c:rich>
                  <a:bodyPr/>
                  <a:lstStyle/>
                  <a:p>
                    <a:pPr>
                      <a:defRPr sz="575" b="0" i="0" u="none" strike="noStrike" baseline="0">
                        <a:solidFill>
                          <a:srgbClr val="000000"/>
                        </a:solidFill>
                        <a:latin typeface="Arial"/>
                        <a:ea typeface="Arial"/>
                        <a:cs typeface="Arial"/>
                      </a:defRPr>
                    </a:pPr>
                    <a:r>
                      <a:rPr lang="pt-BR"/>
                      <a:t>2,06%</a:t>
                    </a:r>
                  </a:p>
                </c:rich>
              </c:tx>
              <c:spPr>
                <a:noFill/>
                <a:ln w="25400">
                  <a:noFill/>
                </a:ln>
              </c:spPr>
              <c:dLblPos val="ctr"/>
            </c:dLbl>
            <c:numFmt formatCode="0.00" sourceLinked="0"/>
            <c:spPr>
              <a:noFill/>
              <a:ln w="25400">
                <a:noFill/>
              </a:ln>
            </c:spPr>
            <c:txPr>
              <a:bodyPr/>
              <a:lstStyle/>
              <a:p>
                <a:pPr>
                  <a:defRPr sz="575" b="0" i="0" u="none" strike="noStrike" baseline="0">
                    <a:solidFill>
                      <a:srgbClr val="000000"/>
                    </a:solidFill>
                    <a:latin typeface="Arial"/>
                    <a:ea typeface="Arial"/>
                    <a:cs typeface="Arial"/>
                  </a:defRPr>
                </a:pPr>
                <a:endParaRPr lang="pt-BR"/>
              </a:p>
            </c:txPr>
            <c:showVal val="1"/>
          </c:dLbls>
          <c:cat>
            <c:strRef>
              <c:f>'Base de Cálculo'!$B$166:$B$169</c:f>
              <c:strCache>
                <c:ptCount val="4"/>
                <c:pt idx="0">
                  <c:v>Demanda Total 2007</c:v>
                </c:pt>
                <c:pt idx="1">
                  <c:v>Demanda Total 2008</c:v>
                </c:pt>
                <c:pt idx="2">
                  <c:v>Demanda Total 2009</c:v>
                </c:pt>
                <c:pt idx="3">
                  <c:v>Demanda Total 2010</c:v>
                </c:pt>
              </c:strCache>
            </c:strRef>
          </c:cat>
          <c:val>
            <c:numRef>
              <c:f>'Base de Cálculo'!$F$166:$F$169</c:f>
              <c:numCache>
                <c:formatCode>#,##0.00</c:formatCode>
                <c:ptCount val="4"/>
                <c:pt idx="0">
                  <c:v>0.15000000000000024</c:v>
                </c:pt>
                <c:pt idx="1">
                  <c:v>0.15000000000000024</c:v>
                </c:pt>
                <c:pt idx="2">
                  <c:v>0.15000000000000024</c:v>
                </c:pt>
                <c:pt idx="3">
                  <c:v>9.7000000000000003E-2</c:v>
                </c:pt>
              </c:numCache>
            </c:numRef>
          </c:val>
        </c:ser>
        <c:overlap val="100"/>
        <c:axId val="54868608"/>
        <c:axId val="54903168"/>
      </c:barChart>
      <c:catAx>
        <c:axId val="54868608"/>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pt-BR"/>
          </a:p>
        </c:txPr>
        <c:crossAx val="54903168"/>
        <c:crosses val="autoZero"/>
        <c:auto val="1"/>
        <c:lblAlgn val="ctr"/>
        <c:lblOffset val="100"/>
        <c:tickLblSkip val="1"/>
        <c:tickMarkSkip val="1"/>
      </c:catAx>
      <c:valAx>
        <c:axId val="54903168"/>
        <c:scaling>
          <c:orientation val="minMax"/>
          <c:max val="5"/>
        </c:scaling>
        <c:axPos val="l"/>
        <c:majorGridlines>
          <c:spPr>
            <a:ln w="3175">
              <a:solidFill>
                <a:srgbClr val="969696"/>
              </a:solidFill>
              <a:prstDash val="solid"/>
            </a:ln>
          </c:spPr>
        </c:majorGridlines>
        <c:title>
          <c:tx>
            <c:rich>
              <a:bodyPr/>
              <a:lstStyle/>
              <a:p>
                <a:pPr>
                  <a:defRPr sz="900" b="1" i="0" u="none" strike="noStrike" baseline="0">
                    <a:solidFill>
                      <a:srgbClr val="000000"/>
                    </a:solidFill>
                    <a:latin typeface="Arial"/>
                    <a:ea typeface="Arial"/>
                    <a:cs typeface="Arial"/>
                  </a:defRPr>
                </a:pPr>
                <a:r>
                  <a:rPr lang="pt-BR"/>
                  <a:t>m3/s</a:t>
                </a:r>
              </a:p>
            </c:rich>
          </c:tx>
          <c:layout>
            <c:manualLayout>
              <c:xMode val="edge"/>
              <c:yMode val="edge"/>
              <c:x val="1.5625000000000003E-2"/>
              <c:y val="0.33431939792056548"/>
            </c:manualLayout>
          </c:layout>
          <c:spPr>
            <a:noFill/>
            <a:ln w="25400">
              <a:noFill/>
            </a:ln>
          </c:spPr>
        </c:title>
        <c:numFmt formatCode="#,##0" sourceLinked="0"/>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pt-BR"/>
          </a:p>
        </c:txPr>
        <c:crossAx val="54868608"/>
        <c:crosses val="autoZero"/>
        <c:crossBetween val="between"/>
        <c:majorUnit val="1"/>
        <c:minorUnit val="0.5"/>
      </c:valAx>
      <c:spPr>
        <a:solidFill>
          <a:srgbClr val="FFFFFF"/>
        </a:solidFill>
        <a:ln w="12700">
          <a:solidFill>
            <a:srgbClr val="808080"/>
          </a:solidFill>
          <a:prstDash val="solid"/>
        </a:ln>
      </c:spPr>
    </c:plotArea>
    <c:legend>
      <c:legendPos val="b"/>
      <c:layout>
        <c:manualLayout>
          <c:xMode val="edge"/>
          <c:yMode val="edge"/>
          <c:x val="9.6875000000000044E-2"/>
          <c:y val="0.85798842824204991"/>
          <c:w val="0.89062500000000155"/>
          <c:h val="0.12130160525514422"/>
        </c:manualLayout>
      </c:layout>
      <c:spPr>
        <a:solidFill>
          <a:srgbClr val="FFFFFF"/>
        </a:solidFill>
        <a:ln w="25400">
          <a:noFill/>
        </a:ln>
      </c:spPr>
      <c:txPr>
        <a:bodyPr/>
        <a:lstStyle/>
        <a:p>
          <a:pPr>
            <a:defRPr sz="780"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3879781420765028"/>
          <c:y val="0.17326732673267362"/>
          <c:w val="0.77704918032786885"/>
          <c:h val="0.72277402434160465"/>
        </c:manualLayout>
      </c:layout>
      <c:barChart>
        <c:barDir val="col"/>
        <c:grouping val="clustered"/>
        <c:ser>
          <c:idx val="0"/>
          <c:order val="0"/>
          <c:spPr>
            <a:solidFill>
              <a:srgbClr val="9999FF"/>
            </a:solidFill>
            <a:ln w="12700">
              <a:solidFill>
                <a:srgbClr val="000000"/>
              </a:solidFill>
              <a:prstDash val="solid"/>
            </a:ln>
          </c:spPr>
          <c:cat>
            <c:numRef>
              <c:f>'Base de Cálculo'!$A$181:$A$184</c:f>
              <c:numCache>
                <c:formatCode>General</c:formatCode>
                <c:ptCount val="4"/>
                <c:pt idx="0">
                  <c:v>2006</c:v>
                </c:pt>
                <c:pt idx="1">
                  <c:v>2007</c:v>
                </c:pt>
                <c:pt idx="2">
                  <c:v>2008</c:v>
                </c:pt>
                <c:pt idx="3">
                  <c:v>2009</c:v>
                </c:pt>
              </c:numCache>
            </c:numRef>
          </c:cat>
          <c:val>
            <c:numRef>
              <c:f>'Base de Cálculo'!$A$180</c:f>
              <c:numCache>
                <c:formatCode>General</c:formatCode>
                <c:ptCount val="1"/>
                <c:pt idx="0">
                  <c:v>0</c:v>
                </c:pt>
              </c:numCache>
            </c:numRef>
          </c:val>
        </c:ser>
        <c:ser>
          <c:idx val="1"/>
          <c:order val="1"/>
          <c:tx>
            <c:strRef>
              <c:f>'Base de Cálculo'!$B$180</c:f>
              <c:strCache>
                <c:ptCount val="1"/>
                <c:pt idx="0">
                  <c:v>P02E</c:v>
                </c:pt>
              </c:strCache>
            </c:strRef>
          </c:tx>
          <c:spPr>
            <a:solidFill>
              <a:srgbClr val="0066CC"/>
            </a:solidFill>
            <a:ln w="25400">
              <a:noFill/>
            </a:ln>
          </c:spPr>
          <c:dLbls>
            <c:numFmt formatCode="0.00" sourceLinked="0"/>
            <c:spPr>
              <a:noFill/>
              <a:ln w="25400">
                <a:noFill/>
              </a:ln>
            </c:spPr>
            <c:txPr>
              <a:bodyPr/>
              <a:lstStyle/>
              <a:p>
                <a:pPr>
                  <a:defRPr sz="800" b="1" i="0" u="none" strike="noStrike" baseline="0">
                    <a:solidFill>
                      <a:srgbClr val="FFFFFF"/>
                    </a:solidFill>
                    <a:latin typeface="Arial"/>
                    <a:ea typeface="Arial"/>
                    <a:cs typeface="Arial"/>
                  </a:defRPr>
                </a:pPr>
                <a:endParaRPr lang="pt-BR"/>
              </a:p>
            </c:txPr>
            <c:dLblPos val="ctr"/>
            <c:showVal val="1"/>
          </c:dLbls>
          <c:cat>
            <c:numRef>
              <c:f>'Base de Cálculo'!$A$181:$A$184</c:f>
              <c:numCache>
                <c:formatCode>General</c:formatCode>
                <c:ptCount val="4"/>
                <c:pt idx="0">
                  <c:v>2006</c:v>
                </c:pt>
                <c:pt idx="1">
                  <c:v>2007</c:v>
                </c:pt>
                <c:pt idx="2">
                  <c:v>2008</c:v>
                </c:pt>
                <c:pt idx="3">
                  <c:v>2009</c:v>
                </c:pt>
              </c:numCache>
            </c:numRef>
          </c:cat>
          <c:val>
            <c:numRef>
              <c:f>'Base de Cálculo'!$B$181:$B$184</c:f>
              <c:numCache>
                <c:formatCode>0.00</c:formatCode>
                <c:ptCount val="4"/>
                <c:pt idx="0">
                  <c:v>1.970000000000002</c:v>
                </c:pt>
                <c:pt idx="1">
                  <c:v>2.0499999999999998</c:v>
                </c:pt>
                <c:pt idx="2">
                  <c:v>2.04</c:v>
                </c:pt>
                <c:pt idx="3">
                  <c:v>2.0519999999999987</c:v>
                </c:pt>
              </c:numCache>
            </c:numRef>
          </c:val>
        </c:ser>
        <c:gapWidth val="80"/>
        <c:axId val="57873920"/>
        <c:axId val="57875456"/>
      </c:barChart>
      <c:catAx>
        <c:axId val="57873920"/>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7875456"/>
        <c:crosses val="autoZero"/>
        <c:auto val="1"/>
        <c:lblAlgn val="ctr"/>
        <c:lblOffset val="100"/>
        <c:tickLblSkip val="1"/>
        <c:tickMarkSkip val="1"/>
      </c:catAx>
      <c:valAx>
        <c:axId val="57875456"/>
        <c:scaling>
          <c:orientation val="minMax"/>
        </c:scaling>
        <c:axPos val="l"/>
        <c:majorGridlines>
          <c:spPr>
            <a:ln w="3175">
              <a:solidFill>
                <a:srgbClr val="969696"/>
              </a:solidFill>
              <a:prstDash val="solid"/>
            </a:ln>
          </c:spPr>
        </c:majorGridlines>
        <c:minorGridlines>
          <c:spPr>
            <a:ln w="3175">
              <a:solidFill>
                <a:srgbClr val="000000"/>
              </a:solidFill>
              <a:prstDash val="solid"/>
            </a:ln>
          </c:spPr>
        </c:minorGridlines>
        <c:title>
          <c:tx>
            <c:rich>
              <a:bodyPr/>
              <a:lstStyle/>
              <a:p>
                <a:pPr>
                  <a:defRPr sz="800" b="1" i="0" u="none" strike="noStrike" baseline="0">
                    <a:solidFill>
                      <a:srgbClr val="000000"/>
                    </a:solidFill>
                    <a:latin typeface="Arial"/>
                    <a:ea typeface="Arial"/>
                    <a:cs typeface="Arial"/>
                  </a:defRPr>
                </a:pPr>
                <a:r>
                  <a:rPr lang="pt-BR"/>
                  <a:t>m³/s</a:t>
                </a:r>
              </a:p>
            </c:rich>
          </c:tx>
          <c:layout>
            <c:manualLayout>
              <c:xMode val="edge"/>
              <c:yMode val="edge"/>
              <c:x val="4.3461124736457095E-3"/>
              <c:y val="0.35808696326752459"/>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7873920"/>
        <c:crosses val="autoZero"/>
        <c:crossBetween val="between"/>
        <c:majorUnit val="1"/>
        <c:minorUnit val="1"/>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26378796159477524"/>
          <c:y val="5.0583630480415837E-2"/>
          <c:w val="0.61066825694858917"/>
          <c:h val="0.68482490272373564"/>
        </c:manualLayout>
      </c:layout>
      <c:barChart>
        <c:barDir val="col"/>
        <c:grouping val="clustered"/>
        <c:ser>
          <c:idx val="0"/>
          <c:order val="0"/>
          <c:tx>
            <c:strRef>
              <c:f>'Base de Cálculo'!$A$204</c:f>
              <c:strCache>
                <c:ptCount val="1"/>
                <c:pt idx="0">
                  <c:v>captações superficiais</c:v>
                </c:pt>
              </c:strCache>
            </c:strRef>
          </c:tx>
          <c:spPr>
            <a:solidFill>
              <a:schemeClr val="accent5">
                <a:lumMod val="75000"/>
              </a:schemeClr>
            </a:solidFill>
            <a:ln w="12700">
              <a:noFill/>
              <a:prstDash val="solid"/>
            </a:ln>
          </c:spPr>
          <c:dLbls>
            <c:dLbl>
              <c:idx val="0"/>
              <c:layout>
                <c:manualLayout>
                  <c:x val="0"/>
                  <c:y val="0.13391563635830192"/>
                </c:manualLayout>
              </c:layout>
              <c:tx>
                <c:rich>
                  <a:bodyPr/>
                  <a:lstStyle/>
                  <a:p>
                    <a:r>
                      <a:rPr lang="pt-BR"/>
                      <a:t>34,00</a:t>
                    </a:r>
                  </a:p>
                </c:rich>
              </c:tx>
              <c:dLblPos val="outEnd"/>
            </c:dLbl>
            <c:dLbl>
              <c:idx val="1"/>
              <c:layout>
                <c:manualLayout>
                  <c:x val="0"/>
                  <c:y val="0.13391563635830198"/>
                </c:manualLayout>
              </c:layout>
              <c:tx>
                <c:rich>
                  <a:bodyPr/>
                  <a:lstStyle/>
                  <a:p>
                    <a:r>
                      <a:rPr lang="pt-BR"/>
                      <a:t>40,00</a:t>
                    </a:r>
                  </a:p>
                </c:rich>
              </c:tx>
              <c:dLblPos val="outEnd"/>
            </c:dLbl>
            <c:dLbl>
              <c:idx val="2"/>
              <c:layout>
                <c:manualLayout>
                  <c:x val="0"/>
                  <c:y val="0.13391563635830198"/>
                </c:manualLayout>
              </c:layout>
              <c:tx>
                <c:rich>
                  <a:bodyPr/>
                  <a:lstStyle/>
                  <a:p>
                    <a:r>
                      <a:rPr lang="pt-BR"/>
                      <a:t>40,00</a:t>
                    </a:r>
                  </a:p>
                </c:rich>
              </c:tx>
              <c:dLblPos val="outEnd"/>
            </c:dLbl>
            <c:dLbl>
              <c:idx val="3"/>
              <c:layout>
                <c:manualLayout>
                  <c:x val="3.3928438893724403E-3"/>
                  <c:y val="0.15877902340205149"/>
                </c:manualLayout>
              </c:layout>
              <c:tx>
                <c:rich>
                  <a:bodyPr/>
                  <a:lstStyle/>
                  <a:p>
                    <a:r>
                      <a:rPr lang="pt-BR"/>
                      <a:t>40,88</a:t>
                    </a:r>
                  </a:p>
                </c:rich>
              </c:tx>
              <c:dLblPos val="outEnd"/>
            </c:dLbl>
            <c:spPr>
              <a:noFill/>
              <a:ln w="25400">
                <a:noFill/>
              </a:ln>
            </c:spPr>
            <c:txPr>
              <a:bodyPr rot="-5400000" vert="horz"/>
              <a:lstStyle/>
              <a:p>
                <a:pPr algn="ctr">
                  <a:defRPr sz="800" b="0" i="0" u="none" strike="noStrike" baseline="0">
                    <a:solidFill>
                      <a:srgbClr val="000000"/>
                    </a:solidFill>
                    <a:latin typeface="Arial"/>
                    <a:ea typeface="Arial"/>
                    <a:cs typeface="Arial"/>
                  </a:defRPr>
                </a:pPr>
                <a:endParaRPr lang="pt-BR"/>
              </a:p>
            </c:txPr>
            <c:showVal val="1"/>
          </c:dLbls>
          <c:cat>
            <c:numRef>
              <c:f>'Base de Cálculo'!$B$203:$E$203</c:f>
              <c:numCache>
                <c:formatCode>General</c:formatCode>
                <c:ptCount val="4"/>
                <c:pt idx="0">
                  <c:v>2007</c:v>
                </c:pt>
                <c:pt idx="1">
                  <c:v>2008</c:v>
                </c:pt>
                <c:pt idx="2">
                  <c:v>2009</c:v>
                </c:pt>
                <c:pt idx="3">
                  <c:v>2010</c:v>
                </c:pt>
              </c:numCache>
            </c:numRef>
          </c:cat>
          <c:val>
            <c:numRef>
              <c:f>'Base de Cálculo'!$B$204:$E$204</c:f>
              <c:numCache>
                <c:formatCode>0.00</c:formatCode>
                <c:ptCount val="4"/>
                <c:pt idx="0">
                  <c:v>34</c:v>
                </c:pt>
                <c:pt idx="1">
                  <c:v>40</c:v>
                </c:pt>
                <c:pt idx="2">
                  <c:v>40</c:v>
                </c:pt>
                <c:pt idx="3">
                  <c:v>40.879999999999995</c:v>
                </c:pt>
              </c:numCache>
            </c:numRef>
          </c:val>
        </c:ser>
        <c:ser>
          <c:idx val="1"/>
          <c:order val="1"/>
          <c:tx>
            <c:strRef>
              <c:f>'Base de Cálculo'!$A$205</c:f>
              <c:strCache>
                <c:ptCount val="1"/>
                <c:pt idx="0">
                  <c:v>captações subterrâneas</c:v>
                </c:pt>
              </c:strCache>
            </c:strRef>
          </c:tx>
          <c:spPr>
            <a:solidFill>
              <a:schemeClr val="accent5">
                <a:lumMod val="60000"/>
                <a:lumOff val="40000"/>
              </a:schemeClr>
            </a:solidFill>
            <a:ln w="12700">
              <a:noFill/>
              <a:prstDash val="solid"/>
            </a:ln>
          </c:spPr>
          <c:dLbls>
            <c:dLbl>
              <c:idx val="0"/>
              <c:layout>
                <c:manualLayout>
                  <c:x val="0"/>
                  <c:y val="0.11644837944200137"/>
                </c:manualLayout>
              </c:layout>
              <c:tx>
                <c:rich>
                  <a:bodyPr/>
                  <a:lstStyle/>
                  <a:p>
                    <a:r>
                      <a:rPr lang="pt-BR"/>
                      <a:t>18,41</a:t>
                    </a:r>
                  </a:p>
                </c:rich>
              </c:tx>
              <c:dLblPos val="outEnd"/>
            </c:dLbl>
            <c:dLbl>
              <c:idx val="1"/>
              <c:layout>
                <c:manualLayout>
                  <c:x val="0"/>
                  <c:y val="0.12227079841410163"/>
                </c:manualLayout>
              </c:layout>
              <c:tx>
                <c:rich>
                  <a:bodyPr/>
                  <a:lstStyle/>
                  <a:p>
                    <a:r>
                      <a:rPr lang="pt-BR"/>
                      <a:t>21,81</a:t>
                    </a:r>
                  </a:p>
                </c:rich>
              </c:tx>
              <c:dLblPos val="outEnd"/>
            </c:dLbl>
            <c:dLbl>
              <c:idx val="2"/>
              <c:layout>
                <c:manualLayout>
                  <c:x val="0"/>
                  <c:y val="0.12809321738620183"/>
                </c:manualLayout>
              </c:layout>
              <c:tx>
                <c:rich>
                  <a:bodyPr/>
                  <a:lstStyle/>
                  <a:p>
                    <a:r>
                      <a:rPr lang="pt-BR"/>
                      <a:t>21,81</a:t>
                    </a:r>
                  </a:p>
                </c:rich>
              </c:tx>
              <c:dLblPos val="outEnd"/>
            </c:dLbl>
            <c:dLbl>
              <c:idx val="3"/>
              <c:layout>
                <c:manualLayout>
                  <c:x val="1.5573615637376947E-2"/>
                  <c:y val="0.1948286324512114"/>
                </c:manualLayout>
              </c:layout>
              <c:tx>
                <c:rich>
                  <a:bodyPr/>
                  <a:lstStyle/>
                  <a:p>
                    <a:r>
                      <a:rPr lang="pt-BR"/>
                      <a:t>26,08</a:t>
                    </a:r>
                  </a:p>
                </c:rich>
              </c:tx>
              <c:dLblPos val="outEnd"/>
            </c:dLbl>
            <c:spPr>
              <a:noFill/>
              <a:ln w="25400">
                <a:noFill/>
              </a:ln>
            </c:spPr>
            <c:txPr>
              <a:bodyPr rot="-5400000" vert="horz"/>
              <a:lstStyle/>
              <a:p>
                <a:pPr algn="ctr">
                  <a:defRPr sz="800" b="0" i="0" u="none" strike="noStrike" baseline="0">
                    <a:solidFill>
                      <a:srgbClr val="000000"/>
                    </a:solidFill>
                    <a:latin typeface="Arial"/>
                    <a:ea typeface="Arial"/>
                    <a:cs typeface="Arial"/>
                  </a:defRPr>
                </a:pPr>
                <a:endParaRPr lang="pt-BR"/>
              </a:p>
            </c:txPr>
            <c:showVal val="1"/>
          </c:dLbls>
          <c:cat>
            <c:numRef>
              <c:f>'Base de Cálculo'!$B$203:$E$203</c:f>
              <c:numCache>
                <c:formatCode>General</c:formatCode>
                <c:ptCount val="4"/>
                <c:pt idx="0">
                  <c:v>2007</c:v>
                </c:pt>
                <c:pt idx="1">
                  <c:v>2008</c:v>
                </c:pt>
                <c:pt idx="2">
                  <c:v>2009</c:v>
                </c:pt>
                <c:pt idx="3">
                  <c:v>2010</c:v>
                </c:pt>
              </c:numCache>
            </c:numRef>
          </c:cat>
          <c:val>
            <c:numRef>
              <c:f>'Base de Cálculo'!$B$205:$E$205</c:f>
              <c:numCache>
                <c:formatCode>0.00</c:formatCode>
                <c:ptCount val="4"/>
                <c:pt idx="0">
                  <c:v>18.41</c:v>
                </c:pt>
                <c:pt idx="1">
                  <c:v>21.810000000000031</c:v>
                </c:pt>
                <c:pt idx="2">
                  <c:v>21.810000000000031</c:v>
                </c:pt>
                <c:pt idx="3">
                  <c:v>26.08</c:v>
                </c:pt>
              </c:numCache>
            </c:numRef>
          </c:val>
        </c:ser>
        <c:axId val="57904512"/>
        <c:axId val="57914496"/>
      </c:barChart>
      <c:catAx>
        <c:axId val="5790451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57914496"/>
        <c:crosses val="autoZero"/>
        <c:auto val="1"/>
        <c:lblAlgn val="ctr"/>
        <c:lblOffset val="100"/>
        <c:tickLblSkip val="1"/>
        <c:tickMarkSkip val="1"/>
      </c:catAx>
      <c:valAx>
        <c:axId val="57914496"/>
        <c:scaling>
          <c:orientation val="minMax"/>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n° outorgas/1000 km²</a:t>
                </a:r>
              </a:p>
            </c:rich>
          </c:tx>
          <c:layout>
            <c:manualLayout>
              <c:xMode val="edge"/>
              <c:yMode val="edge"/>
              <c:x val="2.4E-2"/>
              <c:y val="0.20233454689131633"/>
            </c:manualLayout>
          </c:layout>
          <c:spPr>
            <a:noFill/>
            <a:ln w="25400">
              <a:noFill/>
            </a:ln>
          </c:spPr>
        </c:title>
        <c:numFmt formatCode="0.0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57904512"/>
        <c:crosses val="autoZero"/>
        <c:crossBetween val="between"/>
        <c:minorUnit val="5"/>
      </c:valAx>
      <c:spPr>
        <a:solidFill>
          <a:srgbClr val="FFFFFF"/>
        </a:solidFill>
        <a:ln w="25400">
          <a:noFill/>
        </a:ln>
      </c:spPr>
    </c:plotArea>
    <c:legend>
      <c:legendPos val="b"/>
      <c:layout>
        <c:manualLayout>
          <c:xMode val="edge"/>
          <c:yMode val="edge"/>
          <c:x val="0.10606092420265667"/>
          <c:y val="0.87097075231187815"/>
          <c:w val="0.86060860574246401"/>
          <c:h val="6.4516505329307014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5308678888596919"/>
          <c:y val="5.514705882352941E-2"/>
          <c:w val="0.65926084891215497"/>
          <c:h val="0.69852941176470584"/>
        </c:manualLayout>
      </c:layout>
      <c:barChart>
        <c:barDir val="col"/>
        <c:grouping val="percentStacked"/>
        <c:ser>
          <c:idx val="0"/>
          <c:order val="0"/>
          <c:tx>
            <c:strRef>
              <c:f>'Base de Cálculo'!$B$216</c:f>
              <c:strCache>
                <c:ptCount val="1"/>
                <c:pt idx="0">
                  <c:v>P.03-C </c:v>
                </c:pt>
              </c:strCache>
            </c:strRef>
          </c:tx>
          <c:spPr>
            <a:solidFill>
              <a:srgbClr val="9999FF"/>
            </a:solidFill>
            <a:ln w="12700">
              <a:noFill/>
              <a:prstDash val="solid"/>
            </a:ln>
          </c:spPr>
          <c:dLbls>
            <c:numFmt formatCode="#,##0.0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Cálculo'!$A$217:$A$220</c:f>
              <c:numCache>
                <c:formatCode>General</c:formatCode>
                <c:ptCount val="4"/>
                <c:pt idx="0">
                  <c:v>2007</c:v>
                </c:pt>
                <c:pt idx="1">
                  <c:v>2008</c:v>
                </c:pt>
                <c:pt idx="2">
                  <c:v>2009</c:v>
                </c:pt>
                <c:pt idx="3">
                  <c:v>2010</c:v>
                </c:pt>
              </c:numCache>
            </c:numRef>
          </c:cat>
          <c:val>
            <c:numRef>
              <c:f>'Base de Cálculo'!$B$217:$B$220</c:f>
              <c:numCache>
                <c:formatCode>0.00</c:formatCode>
                <c:ptCount val="4"/>
                <c:pt idx="0">
                  <c:v>65</c:v>
                </c:pt>
                <c:pt idx="1">
                  <c:v>64.52</c:v>
                </c:pt>
                <c:pt idx="2">
                  <c:v>64.53</c:v>
                </c:pt>
                <c:pt idx="3" formatCode="0">
                  <c:v>61</c:v>
                </c:pt>
              </c:numCache>
            </c:numRef>
          </c:val>
        </c:ser>
        <c:ser>
          <c:idx val="1"/>
          <c:order val="1"/>
          <c:tx>
            <c:strRef>
              <c:f>'Base de Cálculo'!$C$216</c:f>
              <c:strCache>
                <c:ptCount val="1"/>
                <c:pt idx="0">
                  <c:v>P.03-D </c:v>
                </c:pt>
              </c:strCache>
            </c:strRef>
          </c:tx>
          <c:spPr>
            <a:solidFill>
              <a:schemeClr val="accent1">
                <a:lumMod val="20000"/>
                <a:lumOff val="80000"/>
              </a:schemeClr>
            </a:solidFill>
            <a:ln w="12700">
              <a:noFill/>
              <a:prstDash val="solid"/>
            </a:ln>
          </c:spPr>
          <c:dLbls>
            <c:numFmt formatCode="#,##0.0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Cálculo'!$A$217:$A$220</c:f>
              <c:numCache>
                <c:formatCode>General</c:formatCode>
                <c:ptCount val="4"/>
                <c:pt idx="0">
                  <c:v>2007</c:v>
                </c:pt>
                <c:pt idx="1">
                  <c:v>2008</c:v>
                </c:pt>
                <c:pt idx="2">
                  <c:v>2009</c:v>
                </c:pt>
                <c:pt idx="3">
                  <c:v>2010</c:v>
                </c:pt>
              </c:numCache>
            </c:numRef>
          </c:cat>
          <c:val>
            <c:numRef>
              <c:f>'Base de Cálculo'!$C$217:$C$220</c:f>
              <c:numCache>
                <c:formatCode>0.00</c:formatCode>
                <c:ptCount val="4"/>
                <c:pt idx="0">
                  <c:v>35</c:v>
                </c:pt>
                <c:pt idx="1">
                  <c:v>35.47</c:v>
                </c:pt>
                <c:pt idx="2">
                  <c:v>35.47</c:v>
                </c:pt>
                <c:pt idx="3" formatCode="0">
                  <c:v>39</c:v>
                </c:pt>
              </c:numCache>
            </c:numRef>
          </c:val>
        </c:ser>
        <c:overlap val="100"/>
        <c:axId val="74774400"/>
        <c:axId val="74775936"/>
      </c:barChart>
      <c:catAx>
        <c:axId val="74774400"/>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74775936"/>
        <c:crosses val="autoZero"/>
        <c:auto val="1"/>
        <c:lblAlgn val="ctr"/>
        <c:lblOffset val="100"/>
        <c:tickLblSkip val="1"/>
        <c:tickMarkSkip val="1"/>
      </c:catAx>
      <c:valAx>
        <c:axId val="74775936"/>
        <c:scaling>
          <c:orientation val="minMax"/>
        </c:scaling>
        <c:axPos val="l"/>
        <c:majorGridlines>
          <c:spPr>
            <a:ln w="3175">
              <a:solidFill>
                <a:srgbClr val="969696"/>
              </a:solidFill>
              <a:prstDash val="solid"/>
            </a:ln>
          </c:spPr>
        </c:majorGridlines>
        <c:numFmt formatCode="0%"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74774400"/>
        <c:crosses val="autoZero"/>
        <c:crossBetween val="between"/>
        <c:majorUnit val="0.25"/>
      </c:valAx>
      <c:spPr>
        <a:solidFill>
          <a:srgbClr val="FFFFFF"/>
        </a:solidFill>
        <a:ln w="25400">
          <a:noFill/>
        </a:ln>
      </c:spPr>
    </c:plotArea>
    <c:legend>
      <c:legendPos val="b"/>
      <c:layout>
        <c:manualLayout>
          <c:xMode val="edge"/>
          <c:yMode val="edge"/>
          <c:x val="0.16455696202531642"/>
          <c:y val="0.88235294117647056"/>
          <c:w val="0.61075949367089011"/>
          <c:h val="7.3529411764705843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4356440284571606"/>
          <c:y val="3.3281424920142362E-2"/>
          <c:w val="0.82425742574257421"/>
          <c:h val="0.71831315247740835"/>
        </c:manualLayout>
      </c:layout>
      <c:barChart>
        <c:barDir val="col"/>
        <c:grouping val="clustered"/>
        <c:ser>
          <c:idx val="0"/>
          <c:order val="0"/>
          <c:tx>
            <c:strRef>
              <c:f>'Base de Cálculo'!$A$233</c:f>
              <c:strCache>
                <c:ptCount val="1"/>
                <c:pt idx="0">
                  <c:v>P.04-A</c:v>
                </c:pt>
              </c:strCache>
            </c:strRef>
          </c:tx>
          <c:spPr>
            <a:solidFill>
              <a:srgbClr val="FF9900"/>
            </a:solidFill>
            <a:ln w="25400">
              <a:noFill/>
            </a:ln>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Cálculo'!$B$232:$E$232</c:f>
              <c:numCache>
                <c:formatCode>General</c:formatCode>
                <c:ptCount val="4"/>
                <c:pt idx="0">
                  <c:v>2007</c:v>
                </c:pt>
                <c:pt idx="1">
                  <c:v>2008</c:v>
                </c:pt>
                <c:pt idx="2">
                  <c:v>2009</c:v>
                </c:pt>
                <c:pt idx="3">
                  <c:v>2010</c:v>
                </c:pt>
              </c:numCache>
            </c:numRef>
          </c:cat>
          <c:val>
            <c:numRef>
              <c:f>'Base de Cálculo'!$B$233:$E$233</c:f>
              <c:numCache>
                <c:formatCode>0.00</c:formatCode>
                <c:ptCount val="4"/>
                <c:pt idx="0">
                  <c:v>327.60000000000002</c:v>
                </c:pt>
                <c:pt idx="1">
                  <c:v>320.3</c:v>
                </c:pt>
                <c:pt idx="2">
                  <c:v>323.5</c:v>
                </c:pt>
                <c:pt idx="3" formatCode="0.0">
                  <c:v>315.8</c:v>
                </c:pt>
              </c:numCache>
            </c:numRef>
          </c:val>
        </c:ser>
        <c:axId val="113413504"/>
        <c:axId val="113509504"/>
      </c:barChart>
      <c:catAx>
        <c:axId val="113413504"/>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3509504"/>
        <c:crosses val="autoZero"/>
        <c:auto val="1"/>
        <c:lblAlgn val="ctr"/>
        <c:lblOffset val="100"/>
        <c:tickLblSkip val="1"/>
        <c:tickMarkSkip val="1"/>
      </c:catAx>
      <c:valAx>
        <c:axId val="113509504"/>
        <c:scaling>
          <c:orientation val="minMax"/>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ton/dia</a:t>
                </a:r>
              </a:p>
            </c:rich>
          </c:tx>
          <c:layout>
            <c:manualLayout>
              <c:xMode val="edge"/>
              <c:yMode val="edge"/>
              <c:x val="8.2800958652443236E-3"/>
              <c:y val="0.29910356710583691"/>
            </c:manualLayout>
          </c:layout>
          <c:spPr>
            <a:noFill/>
            <a:ln w="25400">
              <a:noFill/>
            </a:ln>
          </c:spPr>
        </c:title>
        <c:numFmt formatCode="0" sourceLinked="0"/>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3413504"/>
        <c:crosses val="autoZero"/>
        <c:crossBetween val="between"/>
        <c:majorUnit val="2"/>
        <c:minorUnit val="1"/>
      </c:valAx>
      <c:spPr>
        <a:solidFill>
          <a:srgbClr val="FFFFFF"/>
        </a:solid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8692059588210524"/>
          <c:y val="0.12500050294524737"/>
          <c:w val="0.74263038815336624"/>
          <c:h val="0.67307850313275464"/>
        </c:manualLayout>
      </c:layout>
      <c:barChart>
        <c:barDir val="col"/>
        <c:grouping val="clustered"/>
        <c:ser>
          <c:idx val="0"/>
          <c:order val="0"/>
          <c:tx>
            <c:strRef>
              <c:f>'Base de Cálculo'!$A$248</c:f>
              <c:strCache>
                <c:ptCount val="1"/>
                <c:pt idx="0">
                  <c:v>P.05-C</c:v>
                </c:pt>
              </c:strCache>
            </c:strRef>
          </c:tx>
          <c:spPr>
            <a:solidFill>
              <a:srgbClr val="FFCC99"/>
            </a:solidFill>
            <a:ln w="25400">
              <a:noFill/>
            </a:ln>
          </c:spPr>
          <c:dLbls>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Cálculo'!$B$247:$E$247</c:f>
              <c:numCache>
                <c:formatCode>General</c:formatCode>
                <c:ptCount val="4"/>
                <c:pt idx="0">
                  <c:v>2007</c:v>
                </c:pt>
                <c:pt idx="1">
                  <c:v>2008</c:v>
                </c:pt>
                <c:pt idx="2">
                  <c:v>2009</c:v>
                </c:pt>
                <c:pt idx="3">
                  <c:v>2010</c:v>
                </c:pt>
              </c:numCache>
            </c:numRef>
          </c:cat>
          <c:val>
            <c:numRef>
              <c:f>'Base de Cálculo'!$B$248:$E$248</c:f>
              <c:numCache>
                <c:formatCode>0</c:formatCode>
                <c:ptCount val="4"/>
                <c:pt idx="0">
                  <c:v>13015</c:v>
                </c:pt>
                <c:pt idx="1">
                  <c:v>14536</c:v>
                </c:pt>
                <c:pt idx="2">
                  <c:v>11652.66</c:v>
                </c:pt>
                <c:pt idx="3">
                  <c:v>8939</c:v>
                </c:pt>
              </c:numCache>
            </c:numRef>
          </c:val>
        </c:ser>
        <c:axId val="114778880"/>
        <c:axId val="114780416"/>
      </c:barChart>
      <c:catAx>
        <c:axId val="114778880"/>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4780416"/>
        <c:crosses val="autoZero"/>
        <c:auto val="1"/>
        <c:lblAlgn val="ctr"/>
        <c:lblOffset val="100"/>
        <c:tickLblSkip val="1"/>
        <c:tickMarkSkip val="1"/>
      </c:catAx>
      <c:valAx>
        <c:axId val="114780416"/>
        <c:scaling>
          <c:orientation val="minMax"/>
        </c:scaling>
        <c:axPos val="l"/>
        <c:majorGridlines>
          <c:spPr>
            <a:ln w="3175">
              <a:solidFill>
                <a:srgbClr val="969696"/>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t-BR" sz="800" b="1" i="0" strike="noStrike">
                    <a:solidFill>
                      <a:srgbClr val="000000"/>
                    </a:solidFill>
                    <a:latin typeface="Arial"/>
                    <a:cs typeface="Arial"/>
                  </a:rPr>
                  <a:t>kg DBO</a:t>
                </a:r>
                <a:r>
                  <a:rPr lang="pt-BR" sz="800" b="1" i="0" strike="noStrike" baseline="-25000">
                    <a:solidFill>
                      <a:srgbClr val="000000"/>
                    </a:solidFill>
                    <a:latin typeface="Arial"/>
                    <a:cs typeface="Arial"/>
                  </a:rPr>
                  <a:t>5,20</a:t>
                </a:r>
                <a:r>
                  <a:rPr lang="pt-BR" sz="800" b="1" i="0" strike="noStrike">
                    <a:solidFill>
                      <a:srgbClr val="000000"/>
                    </a:solidFill>
                    <a:latin typeface="Arial"/>
                    <a:cs typeface="Arial"/>
                  </a:rPr>
                  <a:t>/dia</a:t>
                </a:r>
              </a:p>
            </c:rich>
          </c:tx>
          <c:layout>
            <c:manualLayout>
              <c:xMode val="edge"/>
              <c:yMode val="edge"/>
              <c:x val="2.9158835571047896E-3"/>
              <c:y val="0.24842075192326271"/>
            </c:manualLayout>
          </c:layout>
          <c:spPr>
            <a:noFill/>
            <a:ln w="25400">
              <a:noFill/>
            </a:ln>
          </c:spPr>
        </c:title>
        <c:numFmt formatCode="#,##0" sourceLinked="0"/>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4778880"/>
        <c:crosses val="autoZero"/>
        <c:crossBetween val="between"/>
      </c:valAx>
      <c:spPr>
        <a:noFill/>
        <a:ln w="3175">
          <a:solidFill>
            <a:srgbClr val="969696"/>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6449086161879892"/>
          <c:y val="7.4257605240575814E-2"/>
          <c:w val="0.77023498694516968"/>
          <c:h val="0.58415982789252952"/>
        </c:manualLayout>
      </c:layout>
      <c:barChart>
        <c:barDir val="col"/>
        <c:grouping val="stacked"/>
        <c:ser>
          <c:idx val="0"/>
          <c:order val="0"/>
          <c:tx>
            <c:strRef>
              <c:f>'Base de Cálculo'!$A$19</c:f>
              <c:strCache>
                <c:ptCount val="1"/>
                <c:pt idx="0">
                  <c:v> 0,0 - 25,0 </c:v>
                </c:pt>
              </c:strCache>
            </c:strRef>
          </c:tx>
          <c:spPr>
            <a:solidFill>
              <a:srgbClr val="4BACC6">
                <a:lumMod val="20000"/>
                <a:lumOff val="80000"/>
              </a:srgbClr>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Cálculo'!$B$19:$E$19</c:f>
              <c:numCache>
                <c:formatCode>General</c:formatCode>
                <c:ptCount val="4"/>
                <c:pt idx="0">
                  <c:v>9</c:v>
                </c:pt>
                <c:pt idx="1">
                  <c:v>9</c:v>
                </c:pt>
                <c:pt idx="2">
                  <c:v>8</c:v>
                </c:pt>
                <c:pt idx="3">
                  <c:v>9</c:v>
                </c:pt>
              </c:numCache>
            </c:numRef>
          </c:val>
        </c:ser>
        <c:ser>
          <c:idx val="1"/>
          <c:order val="1"/>
          <c:tx>
            <c:strRef>
              <c:f>'Base de Cálculo'!$A$20</c:f>
              <c:strCache>
                <c:ptCount val="1"/>
                <c:pt idx="0">
                  <c:v>25,1 - 50,0</c:v>
                </c:pt>
              </c:strCache>
            </c:strRef>
          </c:tx>
          <c:spPr>
            <a:solidFill>
              <a:srgbClr val="4F81BD">
                <a:lumMod val="60000"/>
                <a:lumOff val="40000"/>
              </a:srgbClr>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Cálculo'!$B$20:$E$20</c:f>
              <c:numCache>
                <c:formatCode>General</c:formatCode>
                <c:ptCount val="4"/>
                <c:pt idx="0">
                  <c:v>7</c:v>
                </c:pt>
                <c:pt idx="1">
                  <c:v>7</c:v>
                </c:pt>
                <c:pt idx="2">
                  <c:v>8</c:v>
                </c:pt>
                <c:pt idx="3">
                  <c:v>8</c:v>
                </c:pt>
              </c:numCache>
            </c:numRef>
          </c:val>
        </c:ser>
        <c:ser>
          <c:idx val="2"/>
          <c:order val="2"/>
          <c:tx>
            <c:strRef>
              <c:f>'Base de Cálculo'!$A$21</c:f>
              <c:strCache>
                <c:ptCount val="1"/>
                <c:pt idx="0">
                  <c:v>50,1 - 100,0</c:v>
                </c:pt>
              </c:strCache>
            </c:strRef>
          </c:tx>
          <c:spPr>
            <a:solidFill>
              <a:srgbClr val="4F81BD"/>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Cálculo'!$B$21:$E$21</c:f>
              <c:numCache>
                <c:formatCode>General</c:formatCode>
                <c:ptCount val="4"/>
                <c:pt idx="0">
                  <c:v>4</c:v>
                </c:pt>
                <c:pt idx="1">
                  <c:v>4</c:v>
                </c:pt>
                <c:pt idx="2">
                  <c:v>4</c:v>
                </c:pt>
                <c:pt idx="3">
                  <c:v>3</c:v>
                </c:pt>
              </c:numCache>
            </c:numRef>
          </c:val>
        </c:ser>
        <c:ser>
          <c:idx val="3"/>
          <c:order val="3"/>
          <c:tx>
            <c:strRef>
              <c:f>'Base de Cálculo'!$A$22</c:f>
              <c:strCache>
                <c:ptCount val="1"/>
                <c:pt idx="0">
                  <c:v>100,1 - 500,0</c:v>
                </c:pt>
              </c:strCache>
            </c:strRef>
          </c:tx>
          <c:spPr>
            <a:solidFill>
              <a:srgbClr val="8064A2">
                <a:lumMod val="60000"/>
                <a:lumOff val="40000"/>
              </a:srgbClr>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Cálculo'!$B$22:$E$22</c:f>
              <c:numCache>
                <c:formatCode>General</c:formatCode>
                <c:ptCount val="4"/>
                <c:pt idx="0">
                  <c:v>1</c:v>
                </c:pt>
                <c:pt idx="1">
                  <c:v>1</c:v>
                </c:pt>
                <c:pt idx="2">
                  <c:v>1</c:v>
                </c:pt>
                <c:pt idx="3">
                  <c:v>1</c:v>
                </c:pt>
              </c:numCache>
            </c:numRef>
          </c:val>
        </c:ser>
        <c:ser>
          <c:idx val="4"/>
          <c:order val="4"/>
          <c:tx>
            <c:strRef>
              <c:f>'Base de Cálculo'!$A$23</c:f>
              <c:strCache>
                <c:ptCount val="1"/>
                <c:pt idx="0">
                  <c:v>500,1 - 1000</c:v>
                </c:pt>
              </c:strCache>
            </c:strRef>
          </c:tx>
          <c:spPr>
            <a:solidFill>
              <a:srgbClr val="725892"/>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Cálculo'!$B$23:$E$23</c:f>
              <c:numCache>
                <c:formatCode>General</c:formatCode>
                <c:ptCount val="4"/>
                <c:pt idx="0">
                  <c:v>1</c:v>
                </c:pt>
                <c:pt idx="1">
                  <c:v>1</c:v>
                </c:pt>
                <c:pt idx="2">
                  <c:v>1</c:v>
                </c:pt>
                <c:pt idx="3">
                  <c:v>1</c:v>
                </c:pt>
              </c:numCache>
            </c:numRef>
          </c:val>
        </c:ser>
        <c:ser>
          <c:idx val="5"/>
          <c:order val="5"/>
          <c:tx>
            <c:strRef>
              <c:f>'Base de Cálculo'!$A$24</c:f>
              <c:strCache>
                <c:ptCount val="1"/>
                <c:pt idx="0">
                  <c:v>1000,1 - 13000</c:v>
                </c:pt>
              </c:strCache>
            </c:strRef>
          </c:tx>
          <c:spPr>
            <a:solidFill>
              <a:srgbClr val="4F3D65"/>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Cálculo'!$B$18:$E$18</c:f>
              <c:numCache>
                <c:formatCode>General</c:formatCode>
                <c:ptCount val="4"/>
                <c:pt idx="0">
                  <c:v>2007</c:v>
                </c:pt>
                <c:pt idx="1">
                  <c:v>2008</c:v>
                </c:pt>
                <c:pt idx="2">
                  <c:v>2009</c:v>
                </c:pt>
                <c:pt idx="3">
                  <c:v>2010</c:v>
                </c:pt>
              </c:numCache>
            </c:numRef>
          </c:cat>
          <c:val>
            <c:numRef>
              <c:f>'Base de Cálculo'!$B$24:$E$24</c:f>
              <c:numCache>
                <c:formatCode>General</c:formatCode>
                <c:ptCount val="4"/>
              </c:numCache>
            </c:numRef>
          </c:val>
        </c:ser>
        <c:overlap val="100"/>
        <c:axId val="114156672"/>
        <c:axId val="114491776"/>
      </c:barChart>
      <c:catAx>
        <c:axId val="114156672"/>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4491776"/>
        <c:crosses val="autoZero"/>
        <c:auto val="1"/>
        <c:lblAlgn val="ctr"/>
        <c:lblOffset val="100"/>
      </c:catAx>
      <c:valAx>
        <c:axId val="114491776"/>
        <c:scaling>
          <c:orientation val="minMax"/>
          <c:max val="25"/>
        </c:scaling>
        <c:axPos val="l"/>
        <c:majorGridlines/>
        <c:title>
          <c:tx>
            <c:rich>
              <a:bodyPr/>
              <a:lstStyle/>
              <a:p>
                <a:pPr>
                  <a:defRPr sz="800" b="1" i="0" u="none" strike="noStrike" baseline="0">
                    <a:solidFill>
                      <a:srgbClr val="000000"/>
                    </a:solidFill>
                    <a:latin typeface="Arial"/>
                    <a:ea typeface="Arial"/>
                    <a:cs typeface="Arial"/>
                  </a:defRPr>
                </a:pPr>
                <a:r>
                  <a:rPr lang="pt-BR"/>
                  <a:t>Nº de Municípios</a:t>
                </a:r>
              </a:p>
            </c:rich>
          </c:tx>
          <c:layout>
            <c:manualLayout>
              <c:xMode val="edge"/>
              <c:yMode val="edge"/>
              <c:x val="3.3942501373374838E-2"/>
              <c:y val="0.15346586627166689"/>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4156672"/>
        <c:crosses val="autoZero"/>
        <c:crossBetween val="between"/>
      </c:valAx>
    </c:plotArea>
    <c:legend>
      <c:legendPos val="b"/>
      <c:layout>
        <c:manualLayout>
          <c:xMode val="edge"/>
          <c:yMode val="edge"/>
          <c:x val="0"/>
          <c:y val="0.79207920792079356"/>
          <c:w val="1"/>
          <c:h val="0.18316831683168341"/>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2712426957040695"/>
          <c:y val="0.12500101726088267"/>
          <c:w val="0.61764902997673565"/>
          <c:h val="0.58333808055078551"/>
        </c:manualLayout>
      </c:layout>
      <c:barChart>
        <c:barDir val="col"/>
        <c:grouping val="clustered"/>
        <c:ser>
          <c:idx val="0"/>
          <c:order val="0"/>
          <c:tx>
            <c:strRef>
              <c:f>'Base de Cálculo'!$B$258</c:f>
              <c:strCache>
                <c:ptCount val="1"/>
                <c:pt idx="0">
                  <c:v>P.06-A</c:v>
                </c:pt>
              </c:strCache>
            </c:strRef>
          </c:tx>
          <c:dLbls>
            <c:spPr>
              <a:noFill/>
              <a:ln w="25400">
                <a:noFill/>
              </a:ln>
            </c:spPr>
            <c:showVal val="1"/>
          </c:dLbls>
          <c:cat>
            <c:numRef>
              <c:f>'Base de Cálculo'!$C$257:$D$257</c:f>
              <c:numCache>
                <c:formatCode>General</c:formatCode>
                <c:ptCount val="2"/>
                <c:pt idx="0">
                  <c:v>2009</c:v>
                </c:pt>
                <c:pt idx="1">
                  <c:v>2010</c:v>
                </c:pt>
              </c:numCache>
            </c:numRef>
          </c:cat>
          <c:val>
            <c:numRef>
              <c:f>'Base de Cálculo'!$C$258:$D$258</c:f>
              <c:numCache>
                <c:formatCode>General</c:formatCode>
                <c:ptCount val="2"/>
                <c:pt idx="0">
                  <c:v>33</c:v>
                </c:pt>
                <c:pt idx="1">
                  <c:v>44</c:v>
                </c:pt>
              </c:numCache>
            </c:numRef>
          </c:val>
        </c:ser>
        <c:axId val="115054464"/>
        <c:axId val="115056000"/>
      </c:barChart>
      <c:catAx>
        <c:axId val="115054464"/>
        <c:scaling>
          <c:orientation val="minMax"/>
        </c:scaling>
        <c:axPos val="b"/>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pt-BR"/>
          </a:p>
        </c:txPr>
        <c:crossAx val="115056000"/>
        <c:crosses val="autoZero"/>
        <c:auto val="1"/>
        <c:lblAlgn val="ctr"/>
        <c:lblOffset val="100"/>
        <c:tickLblSkip val="1"/>
        <c:tickMarkSkip val="1"/>
      </c:catAx>
      <c:valAx>
        <c:axId val="115056000"/>
        <c:scaling>
          <c:orientation val="minMax"/>
        </c:scaling>
        <c:axPos val="l"/>
        <c:majorGridlines>
          <c:spPr>
            <a:ln w="3175">
              <a:solidFill>
                <a:srgbClr val="969696"/>
              </a:solidFill>
              <a:prstDash val="solid"/>
            </a:ln>
          </c:spPr>
        </c:majorGridlines>
        <c:title>
          <c:tx>
            <c:rich>
              <a:bodyPr/>
              <a:lstStyle/>
              <a:p>
                <a:pPr>
                  <a:defRPr sz="850" b="1" i="0" u="none" strike="noStrike" baseline="0">
                    <a:solidFill>
                      <a:srgbClr val="000000"/>
                    </a:solidFill>
                    <a:latin typeface="Arial"/>
                    <a:ea typeface="Arial"/>
                    <a:cs typeface="Arial"/>
                  </a:defRPr>
                </a:pPr>
                <a:r>
                  <a:rPr lang="pt-BR"/>
                  <a:t>n° de áreas </a:t>
                </a:r>
              </a:p>
            </c:rich>
          </c:tx>
          <c:layout>
            <c:manualLayout>
              <c:xMode val="edge"/>
              <c:yMode val="edge"/>
              <c:x val="8.0284082136791723E-3"/>
              <c:y val="0.21327121609798791"/>
            </c:manualLayout>
          </c:layout>
          <c:spPr>
            <a:noFill/>
            <a:ln w="25400">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pt-BR"/>
          </a:p>
        </c:txPr>
        <c:crossAx val="115054464"/>
        <c:crosses val="autoZero"/>
        <c:crossBetween val="between"/>
        <c:minorUnit val="0.2"/>
      </c:valAx>
      <c:spPr>
        <a:noFill/>
        <a:ln w="25400">
          <a:noFill/>
        </a:ln>
      </c:spPr>
    </c:plotArea>
    <c:plotVisOnly val="1"/>
    <c:dispBlanksAs val="gap"/>
  </c:chart>
  <c:spPr>
    <a:solidFill>
      <a:srgbClr val="FFFFFF"/>
    </a:solidFill>
    <a:ln w="9525">
      <a:noFill/>
    </a:ln>
  </c:spPr>
  <c:txPr>
    <a:bodyPr/>
    <a:lstStyle/>
    <a:p>
      <a:pPr>
        <a:defRPr sz="850" b="0" i="0" u="none" strike="noStrike" baseline="0">
          <a:solidFill>
            <a:srgbClr val="000000"/>
          </a:solidFill>
          <a:latin typeface="Calibri"/>
          <a:ea typeface="Calibri"/>
          <a:cs typeface="Calibri"/>
        </a:defRPr>
      </a:pPr>
      <a:endParaRPr lang="pt-B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425001739504077"/>
          <c:y val="7.4627228249515523E-2"/>
          <c:w val="0.82500100708130764"/>
          <c:h val="0.76119772814505671"/>
        </c:manualLayout>
      </c:layout>
      <c:barChart>
        <c:barDir val="col"/>
        <c:grouping val="clustered"/>
        <c:ser>
          <c:idx val="0"/>
          <c:order val="0"/>
          <c:tx>
            <c:strRef>
              <c:f>'Base de Cálculo'!$A$266</c:f>
              <c:strCache>
                <c:ptCount val="1"/>
                <c:pt idx="0">
                  <c:v>P.06-B</c:v>
                </c:pt>
              </c:strCache>
            </c:strRef>
          </c:tx>
          <c:spPr>
            <a:solidFill>
              <a:srgbClr val="FFFF99"/>
            </a:solidFill>
            <a:ln w="25400">
              <a:noFill/>
            </a:ln>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Cálculo'!$B$265:$E$265</c:f>
              <c:numCache>
                <c:formatCode>General</c:formatCode>
                <c:ptCount val="4"/>
                <c:pt idx="0">
                  <c:v>2007</c:v>
                </c:pt>
                <c:pt idx="1">
                  <c:v>2008</c:v>
                </c:pt>
                <c:pt idx="2">
                  <c:v>2009</c:v>
                </c:pt>
                <c:pt idx="3">
                  <c:v>2010</c:v>
                </c:pt>
              </c:numCache>
            </c:numRef>
          </c:cat>
          <c:val>
            <c:numRef>
              <c:f>'Base de Cálculo'!$B$266:$E$266</c:f>
              <c:numCache>
                <c:formatCode>General</c:formatCode>
                <c:ptCount val="4"/>
                <c:pt idx="0">
                  <c:v>6</c:v>
                </c:pt>
                <c:pt idx="1">
                  <c:v>3</c:v>
                </c:pt>
                <c:pt idx="2" formatCode="0">
                  <c:v>7</c:v>
                </c:pt>
                <c:pt idx="3" formatCode="0">
                  <c:v>6</c:v>
                </c:pt>
              </c:numCache>
            </c:numRef>
          </c:val>
        </c:ser>
        <c:axId val="115231744"/>
        <c:axId val="115249920"/>
      </c:barChart>
      <c:catAx>
        <c:axId val="115231744"/>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5249920"/>
        <c:crosses val="autoZero"/>
        <c:auto val="1"/>
        <c:lblAlgn val="ctr"/>
        <c:lblOffset val="100"/>
        <c:tickLblSkip val="1"/>
        <c:tickMarkSkip val="1"/>
      </c:catAx>
      <c:valAx>
        <c:axId val="115249920"/>
        <c:scaling>
          <c:orientation val="minMax"/>
        </c:scaling>
        <c:axPos val="l"/>
        <c:majorGridlines>
          <c:spPr>
            <a:ln w="3175">
              <a:solidFill>
                <a:srgbClr val="969696"/>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t-BR" sz="800" b="1" i="0" strike="noStrike">
                    <a:solidFill>
                      <a:srgbClr val="000000"/>
                    </a:solidFill>
                    <a:latin typeface="Arial"/>
                    <a:cs typeface="Arial"/>
                  </a:rPr>
                  <a:t>n° ocorrências</a:t>
                </a:r>
              </a:p>
            </c:rich>
          </c:tx>
          <c:layout>
            <c:manualLayout>
              <c:xMode val="edge"/>
              <c:yMode val="edge"/>
              <c:x val="2.7499722143852552E-2"/>
              <c:y val="0.24378213917290262"/>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5231744"/>
        <c:crosses val="autoZero"/>
        <c:crossBetween val="between"/>
        <c:majorUnit val="1"/>
        <c:minorUnit val="0.2"/>
      </c:valAx>
      <c:spPr>
        <a:noFill/>
        <a:ln w="3175">
          <a:solidFill>
            <a:srgbClr val="969696"/>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8038002555754543"/>
          <c:y val="6.0483870967742034E-2"/>
          <c:w val="0.7405074733415038"/>
          <c:h val="0.72177419354839012"/>
        </c:manualLayout>
      </c:layout>
      <c:barChart>
        <c:barDir val="col"/>
        <c:grouping val="clustered"/>
        <c:ser>
          <c:idx val="0"/>
          <c:order val="0"/>
          <c:tx>
            <c:strRef>
              <c:f>'Base de Cálculo'!$A$278</c:f>
              <c:strCache>
                <c:ptCount val="1"/>
                <c:pt idx="0">
                  <c:v>P.08-A </c:v>
                </c:pt>
              </c:strCache>
            </c:strRef>
          </c:tx>
          <c:spPr>
            <a:solidFill>
              <a:srgbClr val="800000"/>
            </a:solidFill>
            <a:ln w="25400">
              <a:noFill/>
            </a:ln>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Cálculo'!$B$277:$E$277</c:f>
              <c:numCache>
                <c:formatCode>General</c:formatCode>
                <c:ptCount val="4"/>
                <c:pt idx="0">
                  <c:v>2007</c:v>
                </c:pt>
                <c:pt idx="1">
                  <c:v>2008</c:v>
                </c:pt>
                <c:pt idx="2">
                  <c:v>2009</c:v>
                </c:pt>
                <c:pt idx="3">
                  <c:v>2010</c:v>
                </c:pt>
              </c:numCache>
            </c:numRef>
          </c:cat>
          <c:val>
            <c:numRef>
              <c:f>'Base de Cálculo'!$B$278:$E$278</c:f>
              <c:numCache>
                <c:formatCode>General</c:formatCode>
                <c:ptCount val="4"/>
                <c:pt idx="2">
                  <c:v>8</c:v>
                </c:pt>
              </c:numCache>
            </c:numRef>
          </c:val>
        </c:ser>
        <c:ser>
          <c:idx val="1"/>
          <c:order val="1"/>
          <c:tx>
            <c:strRef>
              <c:f>'Base de Cálculo'!$A$279</c:f>
              <c:strCache>
                <c:ptCount val="1"/>
                <c:pt idx="0">
                  <c:v>P.08-D </c:v>
                </c:pt>
              </c:strCache>
            </c:strRef>
          </c:tx>
          <c:spPr>
            <a:solidFill>
              <a:srgbClr val="FF6600"/>
            </a:solidFill>
            <a:ln w="25400">
              <a:noFill/>
            </a:ln>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Cálculo'!$B$277:$E$277</c:f>
              <c:numCache>
                <c:formatCode>General</c:formatCode>
                <c:ptCount val="4"/>
                <c:pt idx="0">
                  <c:v>2007</c:v>
                </c:pt>
                <c:pt idx="1">
                  <c:v>2008</c:v>
                </c:pt>
                <c:pt idx="2">
                  <c:v>2009</c:v>
                </c:pt>
                <c:pt idx="3">
                  <c:v>2010</c:v>
                </c:pt>
              </c:numCache>
            </c:numRef>
          </c:cat>
          <c:val>
            <c:numRef>
              <c:f>'Base de Cálculo'!$B$279:$E$279</c:f>
              <c:numCache>
                <c:formatCode>General</c:formatCode>
                <c:ptCount val="4"/>
                <c:pt idx="0">
                  <c:v>124</c:v>
                </c:pt>
                <c:pt idx="1">
                  <c:v>188</c:v>
                </c:pt>
                <c:pt idx="2">
                  <c:v>188</c:v>
                </c:pt>
                <c:pt idx="3">
                  <c:v>195</c:v>
                </c:pt>
              </c:numCache>
            </c:numRef>
          </c:val>
        </c:ser>
        <c:axId val="115492736"/>
        <c:axId val="115494272"/>
      </c:barChart>
      <c:catAx>
        <c:axId val="115492736"/>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5494272"/>
        <c:crosses val="autoZero"/>
        <c:auto val="1"/>
        <c:lblAlgn val="ctr"/>
        <c:lblOffset val="100"/>
        <c:tickLblSkip val="1"/>
        <c:tickMarkSkip val="1"/>
      </c:catAx>
      <c:valAx>
        <c:axId val="115494272"/>
        <c:scaling>
          <c:orientation val="minMax"/>
          <c:max val="200"/>
          <c:min val="0"/>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Nº barramentos</a:t>
                </a:r>
              </a:p>
            </c:rich>
          </c:tx>
          <c:layout>
            <c:manualLayout>
              <c:xMode val="edge"/>
              <c:yMode val="edge"/>
              <c:x val="1.7455747799980121E-2"/>
              <c:y val="0.20814466007686724"/>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5492736"/>
        <c:crosses val="autoZero"/>
        <c:crossBetween val="between"/>
        <c:majorUnit val="20"/>
      </c:valAx>
      <c:spPr>
        <a:solidFill>
          <a:srgbClr val="FFFFFF"/>
        </a:solidFill>
        <a:ln w="12700">
          <a:solidFill>
            <a:srgbClr val="FFFFFF"/>
          </a:solidFill>
          <a:prstDash val="solid"/>
        </a:ln>
      </c:spPr>
    </c:plotArea>
    <c:legend>
      <c:legendPos val="r"/>
      <c:layout>
        <c:manualLayout>
          <c:xMode val="edge"/>
          <c:yMode val="edge"/>
          <c:x val="0.15839529552476886"/>
          <c:y val="0.89473684210526316"/>
          <c:w val="0.72545034718761359"/>
          <c:h val="8.5020242914980115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bar3DChart>
        <c:barDir val="col"/>
        <c:grouping val="stacked"/>
        <c:ser>
          <c:idx val="0"/>
          <c:order val="0"/>
          <c:tx>
            <c:strRef>
              <c:f>'IQA Gráficos'!$K$59</c:f>
              <c:strCache>
                <c:ptCount val="1"/>
                <c:pt idx="0">
                  <c:v>Ótimo</c:v>
                </c:pt>
              </c:strCache>
            </c:strRef>
          </c:tx>
          <c:spPr>
            <a:solidFill>
              <a:srgbClr val="0070C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'[Análise dos indicadores.xls]IQA Gráficos'!$L$58,'[Análise dos indicadores.xls]IQA Gráficos'!$N$58,'[Análise dos indicadores.xls]IQA Gráficos'!$P$58,'[Análise dos indicadores.xls]IQA Gráficos'!$R$58</c:f>
              <c:numCache>
                <c:formatCode>0</c:formatCode>
                <c:ptCount val="4"/>
                <c:pt idx="0">
                  <c:v>2007</c:v>
                </c:pt>
                <c:pt idx="1">
                  <c:v>2008</c:v>
                </c:pt>
                <c:pt idx="2">
                  <c:v>2009</c:v>
                </c:pt>
                <c:pt idx="3">
                  <c:v>2010</c:v>
                </c:pt>
              </c:numCache>
            </c:numRef>
          </c:cat>
          <c:val>
            <c:numRef>
              <c:f>'[Análise dos indicadores.xls]IQA Gráficos'!$L$59,'[Análise dos indicadores.xls]IQA Gráficos'!$N$59,'[Análise dos indicadores.xls]IQA Gráficos'!$P$59,'[Análise dos indicadores.xls]IQA Gráficos'!$R$59</c:f>
              <c:numCache>
                <c:formatCode>0</c:formatCode>
                <c:ptCount val="4"/>
                <c:pt idx="1">
                  <c:v>1</c:v>
                </c:pt>
                <c:pt idx="2">
                  <c:v>1</c:v>
                </c:pt>
                <c:pt idx="3">
                  <c:v>1</c:v>
                </c:pt>
              </c:numCache>
            </c:numRef>
          </c:val>
        </c:ser>
        <c:ser>
          <c:idx val="1"/>
          <c:order val="1"/>
          <c:tx>
            <c:strRef>
              <c:f>'IQA Gráficos'!$K$60</c:f>
              <c:strCache>
                <c:ptCount val="1"/>
                <c:pt idx="0">
                  <c:v>Bom</c:v>
                </c:pt>
              </c:strCache>
            </c:strRef>
          </c:tx>
          <c:spPr>
            <a:solidFill>
              <a:srgbClr val="00B05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'[Análise dos indicadores.xls]IQA Gráficos'!$L$58,'[Análise dos indicadores.xls]IQA Gráficos'!$N$58,'[Análise dos indicadores.xls]IQA Gráficos'!$P$58,'[Análise dos indicadores.xls]IQA Gráficos'!$R$58</c:f>
              <c:numCache>
                <c:formatCode>0</c:formatCode>
                <c:ptCount val="4"/>
                <c:pt idx="0">
                  <c:v>2007</c:v>
                </c:pt>
                <c:pt idx="1">
                  <c:v>2008</c:v>
                </c:pt>
                <c:pt idx="2">
                  <c:v>2009</c:v>
                </c:pt>
                <c:pt idx="3">
                  <c:v>2010</c:v>
                </c:pt>
              </c:numCache>
            </c:numRef>
          </c:cat>
          <c:val>
            <c:numRef>
              <c:f>'[Análise dos indicadores.xls]IQA Gráficos'!$L$60,'[Análise dos indicadores.xls]IQA Gráficos'!$N$60,'[Análise dos indicadores.xls]IQA Gráficos'!$P$60,'[Análise dos indicadores.xls]IQA Gráficos'!$R$60</c:f>
              <c:numCache>
                <c:formatCode>0</c:formatCode>
                <c:ptCount val="4"/>
                <c:pt idx="0">
                  <c:v>6</c:v>
                </c:pt>
                <c:pt idx="1">
                  <c:v>8</c:v>
                </c:pt>
                <c:pt idx="2">
                  <c:v>10</c:v>
                </c:pt>
                <c:pt idx="3">
                  <c:v>9</c:v>
                </c:pt>
              </c:numCache>
            </c:numRef>
          </c:val>
        </c:ser>
        <c:ser>
          <c:idx val="2"/>
          <c:order val="2"/>
          <c:tx>
            <c:strRef>
              <c:f>'IQA Gráficos'!$K$61</c:f>
              <c:strCache>
                <c:ptCount val="1"/>
                <c:pt idx="0">
                  <c:v>Regular</c:v>
                </c:pt>
              </c:strCache>
            </c:strRef>
          </c:tx>
          <c:spPr>
            <a:solidFill>
              <a:srgbClr val="FFFF0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'[Análise dos indicadores.xls]IQA Gráficos'!$L$58,'[Análise dos indicadores.xls]IQA Gráficos'!$N$58,'[Análise dos indicadores.xls]IQA Gráficos'!$P$58,'[Análise dos indicadores.xls]IQA Gráficos'!$R$58</c:f>
              <c:numCache>
                <c:formatCode>0</c:formatCode>
                <c:ptCount val="4"/>
                <c:pt idx="0">
                  <c:v>2007</c:v>
                </c:pt>
                <c:pt idx="1">
                  <c:v>2008</c:v>
                </c:pt>
                <c:pt idx="2">
                  <c:v>2009</c:v>
                </c:pt>
                <c:pt idx="3">
                  <c:v>2010</c:v>
                </c:pt>
              </c:numCache>
            </c:numRef>
          </c:cat>
          <c:val>
            <c:numRef>
              <c:f>'[Análise dos indicadores.xls]IQA Gráficos'!$L$61,'[Análise dos indicadores.xls]IQA Gráficos'!$N$61,'[Análise dos indicadores.xls]IQA Gráficos'!$P$61,'[Análise dos indicadores.xls]IQA Gráficos'!$R$61</c:f>
              <c:numCache>
                <c:formatCode>0</c:formatCode>
                <c:ptCount val="4"/>
                <c:pt idx="0">
                  <c:v>2</c:v>
                </c:pt>
                <c:pt idx="1">
                  <c:v>1</c:v>
                </c:pt>
                <c:pt idx="2">
                  <c:v>2</c:v>
                </c:pt>
                <c:pt idx="3">
                  <c:v>3</c:v>
                </c:pt>
              </c:numCache>
            </c:numRef>
          </c:val>
        </c:ser>
        <c:ser>
          <c:idx val="3"/>
          <c:order val="3"/>
          <c:tx>
            <c:strRef>
              <c:f>'IQA Gráficos'!$K$62</c:f>
              <c:strCache>
                <c:ptCount val="1"/>
                <c:pt idx="0">
                  <c:v>Ruim</c:v>
                </c:pt>
              </c:strCache>
            </c:strRef>
          </c:tx>
          <c:spPr>
            <a:solidFill>
              <a:srgbClr val="FF0000"/>
            </a:solidFill>
          </c:spPr>
          <c:cat>
            <c:numRef>
              <c:f>'[Análise dos indicadores.xls]IQA Gráficos'!$L$58,'[Análise dos indicadores.xls]IQA Gráficos'!$N$58,'[Análise dos indicadores.xls]IQA Gráficos'!$P$58,'[Análise dos indicadores.xls]IQA Gráficos'!$R$58</c:f>
              <c:numCache>
                <c:formatCode>0</c:formatCode>
                <c:ptCount val="4"/>
                <c:pt idx="0">
                  <c:v>2007</c:v>
                </c:pt>
                <c:pt idx="1">
                  <c:v>2008</c:v>
                </c:pt>
                <c:pt idx="2">
                  <c:v>2009</c:v>
                </c:pt>
                <c:pt idx="3">
                  <c:v>2010</c:v>
                </c:pt>
              </c:numCache>
            </c:numRef>
          </c:cat>
          <c:val>
            <c:numRef>
              <c:f>'[Análise dos indicadores.xls]IQA Gráficos'!$L$62,'[Análise dos indicadores.xls]IQA Gráficos'!$N$62,'[Análise dos indicadores.xls]IQA Gráficos'!$P$62,'[Análise dos indicadores.xls]IQA Gráficos'!$R$62</c:f>
              <c:numCache>
                <c:formatCode>General</c:formatCode>
                <c:ptCount val="4"/>
                <c:pt idx="3" formatCode="0">
                  <c:v>0</c:v>
                </c:pt>
              </c:numCache>
            </c:numRef>
          </c:val>
        </c:ser>
        <c:ser>
          <c:idx val="4"/>
          <c:order val="4"/>
          <c:tx>
            <c:strRef>
              <c:f>'IQA Gráficos'!$K$63</c:f>
              <c:strCache>
                <c:ptCount val="1"/>
                <c:pt idx="0">
                  <c:v>Péssimo</c:v>
                </c:pt>
              </c:strCache>
            </c:strRef>
          </c:tx>
          <c:spPr>
            <a:solidFill>
              <a:srgbClr val="7030A0"/>
            </a:solidFill>
          </c:spPr>
          <c:dLbls>
            <c:dLbl>
              <c:idx val="3"/>
              <c:delete val="1"/>
            </c:dLbl>
            <c:spPr>
              <a:noFill/>
              <a:ln w="25400">
                <a:noFill/>
              </a:ln>
            </c:spPr>
            <c:txPr>
              <a:bodyPr/>
              <a:lstStyle/>
              <a:p>
                <a:pPr>
                  <a:defRPr sz="1000" b="1" i="0" u="none" strike="noStrike" baseline="0">
                    <a:solidFill>
                      <a:srgbClr val="FFFFFF"/>
                    </a:solidFill>
                    <a:latin typeface="Calibri"/>
                    <a:ea typeface="Calibri"/>
                    <a:cs typeface="Calibri"/>
                  </a:defRPr>
                </a:pPr>
                <a:endParaRPr lang="pt-BR"/>
              </a:p>
            </c:txPr>
            <c:showVal val="1"/>
          </c:dLbls>
          <c:cat>
            <c:numRef>
              <c:f>'[Análise dos indicadores.xls]IQA Gráficos'!$L$58,'[Análise dos indicadores.xls]IQA Gráficos'!$N$58,'[Análise dos indicadores.xls]IQA Gráficos'!$P$58,'[Análise dos indicadores.xls]IQA Gráficos'!$R$58</c:f>
              <c:numCache>
                <c:formatCode>0</c:formatCode>
                <c:ptCount val="4"/>
                <c:pt idx="0">
                  <c:v>2007</c:v>
                </c:pt>
                <c:pt idx="1">
                  <c:v>2008</c:v>
                </c:pt>
                <c:pt idx="2">
                  <c:v>2009</c:v>
                </c:pt>
                <c:pt idx="3">
                  <c:v>2010</c:v>
                </c:pt>
              </c:numCache>
            </c:numRef>
          </c:cat>
          <c:val>
            <c:numRef>
              <c:f>'[Análise dos indicadores.xls]IQA Gráficos'!$L$63,'[Análise dos indicadores.xls]IQA Gráficos'!$N$63,'[Análise dos indicadores.xls]IQA Gráficos'!$P$63,'[Análise dos indicadores.xls]IQA Gráficos'!$R$63</c:f>
              <c:numCache>
                <c:formatCode>0</c:formatCode>
                <c:ptCount val="4"/>
                <c:pt idx="1">
                  <c:v>1</c:v>
                </c:pt>
                <c:pt idx="3">
                  <c:v>0</c:v>
                </c:pt>
              </c:numCache>
            </c:numRef>
          </c:val>
        </c:ser>
        <c:shape val="box"/>
        <c:axId val="116420992"/>
        <c:axId val="116422528"/>
        <c:axId val="0"/>
      </c:bar3DChart>
      <c:catAx>
        <c:axId val="116420992"/>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422528"/>
        <c:crosses val="autoZero"/>
        <c:auto val="1"/>
        <c:lblAlgn val="ctr"/>
        <c:lblOffset val="100"/>
      </c:catAx>
      <c:valAx>
        <c:axId val="116422528"/>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420992"/>
        <c:crosses val="autoZero"/>
        <c:crossBetween val="between"/>
      </c:valAx>
      <c:spPr>
        <a:noFill/>
        <a:ln w="25400">
          <a:noFill/>
        </a:ln>
      </c:spPr>
    </c:plotArea>
    <c:legend>
      <c:legendPos val="r"/>
      <c:layout>
        <c:manualLayout>
          <c:xMode val="edge"/>
          <c:yMode val="edge"/>
          <c:x val="0.75737704918032789"/>
          <c:y val="0.22535287255759698"/>
          <c:w val="0.21967213114754133"/>
          <c:h val="0.5633829104695246"/>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manualLayout>
          <c:layoutTarget val="inner"/>
          <c:xMode val="edge"/>
          <c:yMode val="edge"/>
          <c:x val="0.1526484394727162"/>
          <c:y val="7.1428749374076686E-2"/>
          <c:w val="0.57009519231646943"/>
          <c:h val="0.71938954726748661"/>
        </c:manualLayout>
      </c:layout>
      <c:bar3DChart>
        <c:barDir val="col"/>
        <c:grouping val="stacked"/>
        <c:ser>
          <c:idx val="0"/>
          <c:order val="0"/>
          <c:tx>
            <c:strRef>
              <c:f>'IVA Gráficos'!$K$59</c:f>
              <c:strCache>
                <c:ptCount val="1"/>
                <c:pt idx="0">
                  <c:v>Ótimo</c:v>
                </c:pt>
              </c:strCache>
            </c:strRef>
          </c:tx>
          <c:spPr>
            <a:solidFill>
              <a:srgbClr val="0070C0"/>
            </a:solidFill>
          </c:spPr>
          <c:dLbls>
            <c:dLbl>
              <c:idx val="0"/>
              <c:delete val="1"/>
            </c:dLbl>
            <c:dLbl>
              <c:idx val="1"/>
              <c:delete val="1"/>
            </c:dLbl>
            <c:dLbl>
              <c:idx val="2"/>
              <c:delete val="1"/>
            </c:dLbl>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'[MODELO_RS_2011_irene.xls]IVA Gráficos'!$L$58,'[MODELO_RS_2011_irene.xls]IVA Gráficos'!$N$58,'[MODELO_RS_2011_irene.xls]IVA Gráficos'!$P$58,'[MODELO_RS_2011_irene.xls]IVA Gráficos'!$R$58</c:f>
              <c:numCache>
                <c:formatCode>0</c:formatCode>
                <c:ptCount val="4"/>
                <c:pt idx="0">
                  <c:v>2007</c:v>
                </c:pt>
                <c:pt idx="1">
                  <c:v>2008</c:v>
                </c:pt>
                <c:pt idx="2">
                  <c:v>2009</c:v>
                </c:pt>
                <c:pt idx="3">
                  <c:v>2010</c:v>
                </c:pt>
              </c:numCache>
            </c:numRef>
          </c:cat>
          <c:val>
            <c:numRef>
              <c:f>'[MODELO_RS_2011_irene.xls]IVA Gráficos'!$L$59,'[MODELO_RS_2011_irene.xls]IVA Gráficos'!$N$59,'[MODELO_RS_2011_irene.xls]IVA Gráficos'!$P$59,'[MODELO_RS_2011_irene.xls]IVA Gráficos'!$R$59</c:f>
              <c:numCache>
                <c:formatCode>0</c:formatCode>
                <c:ptCount val="4"/>
                <c:pt idx="0">
                  <c:v>0</c:v>
                </c:pt>
                <c:pt idx="1">
                  <c:v>0</c:v>
                </c:pt>
                <c:pt idx="2">
                  <c:v>0</c:v>
                </c:pt>
                <c:pt idx="3">
                  <c:v>1</c:v>
                </c:pt>
              </c:numCache>
            </c:numRef>
          </c:val>
        </c:ser>
        <c:ser>
          <c:idx val="1"/>
          <c:order val="1"/>
          <c:tx>
            <c:strRef>
              <c:f>'IVA Gráficos'!$K$60</c:f>
              <c:strCache>
                <c:ptCount val="1"/>
                <c:pt idx="0">
                  <c:v>Bom</c:v>
                </c:pt>
              </c:strCache>
            </c:strRef>
          </c:tx>
          <c:spPr>
            <a:solidFill>
              <a:srgbClr val="00B05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'[MODELO_RS_2011_irene.xls]IVA Gráficos'!$L$58,'[MODELO_RS_2011_irene.xls]IVA Gráficos'!$N$58,'[MODELO_RS_2011_irene.xls]IVA Gráficos'!$P$58,'[MODELO_RS_2011_irene.xls]IVA Gráficos'!$R$58</c:f>
              <c:numCache>
                <c:formatCode>0</c:formatCode>
                <c:ptCount val="4"/>
                <c:pt idx="0">
                  <c:v>2007</c:v>
                </c:pt>
                <c:pt idx="1">
                  <c:v>2008</c:v>
                </c:pt>
                <c:pt idx="2">
                  <c:v>2009</c:v>
                </c:pt>
                <c:pt idx="3">
                  <c:v>2010</c:v>
                </c:pt>
              </c:numCache>
            </c:numRef>
          </c:cat>
          <c:val>
            <c:numRef>
              <c:f>'[MODELO_RS_2011_irene.xls]IVA Gráficos'!$L$60,'[MODELO_RS_2011_irene.xls]IVA Gráficos'!$N$60,'[MODELO_RS_2011_irene.xls]IVA Gráficos'!$P$60,'[MODELO_RS_2011_irene.xls]IVA Gráficos'!$R$60</c:f>
              <c:numCache>
                <c:formatCode>0</c:formatCode>
                <c:ptCount val="4"/>
                <c:pt idx="0">
                  <c:v>3</c:v>
                </c:pt>
                <c:pt idx="1">
                  <c:v>2</c:v>
                </c:pt>
                <c:pt idx="2">
                  <c:v>1</c:v>
                </c:pt>
                <c:pt idx="3">
                  <c:v>1</c:v>
                </c:pt>
              </c:numCache>
            </c:numRef>
          </c:val>
        </c:ser>
        <c:ser>
          <c:idx val="2"/>
          <c:order val="2"/>
          <c:tx>
            <c:strRef>
              <c:f>'IVA Gráficos'!$K$61</c:f>
              <c:strCache>
                <c:ptCount val="1"/>
                <c:pt idx="0">
                  <c:v>Regular</c:v>
                </c:pt>
              </c:strCache>
            </c:strRef>
          </c:tx>
          <c:spPr>
            <a:solidFill>
              <a:srgbClr val="FFFF00"/>
            </a:solidFill>
          </c:spPr>
          <c:dLbls>
            <c:dLbl>
              <c:idx val="0"/>
              <c:delete val="1"/>
            </c:dLbl>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'[MODELO_RS_2011_irene.xls]IVA Gráficos'!$L$58,'[MODELO_RS_2011_irene.xls]IVA Gráficos'!$N$58,'[MODELO_RS_2011_irene.xls]IVA Gráficos'!$P$58,'[MODELO_RS_2011_irene.xls]IVA Gráficos'!$R$58</c:f>
              <c:numCache>
                <c:formatCode>0</c:formatCode>
                <c:ptCount val="4"/>
                <c:pt idx="0">
                  <c:v>2007</c:v>
                </c:pt>
                <c:pt idx="1">
                  <c:v>2008</c:v>
                </c:pt>
                <c:pt idx="2">
                  <c:v>2009</c:v>
                </c:pt>
                <c:pt idx="3">
                  <c:v>2010</c:v>
                </c:pt>
              </c:numCache>
            </c:numRef>
          </c:cat>
          <c:val>
            <c:numRef>
              <c:f>'[MODELO_RS_2011_irene.xls]IVA Gráficos'!$L$61,'[MODELO_RS_2011_irene.xls]IVA Gráficos'!$N$61,'[MODELO_RS_2011_irene.xls]IVA Gráficos'!$P$61,'[MODELO_RS_2011_irene.xls]IVA Gráficos'!$R$61</c:f>
              <c:numCache>
                <c:formatCode>0</c:formatCode>
                <c:ptCount val="4"/>
                <c:pt idx="0">
                  <c:v>0</c:v>
                </c:pt>
                <c:pt idx="1">
                  <c:v>1</c:v>
                </c:pt>
                <c:pt idx="2">
                  <c:v>1</c:v>
                </c:pt>
                <c:pt idx="3">
                  <c:v>1</c:v>
                </c:pt>
              </c:numCache>
            </c:numRef>
          </c:val>
        </c:ser>
        <c:ser>
          <c:idx val="3"/>
          <c:order val="3"/>
          <c:tx>
            <c:strRef>
              <c:f>'IVA Gráficos'!$K$62</c:f>
              <c:strCache>
                <c:ptCount val="1"/>
                <c:pt idx="0">
                  <c:v>Ruim</c:v>
                </c:pt>
              </c:strCache>
            </c:strRef>
          </c:tx>
          <c:spPr>
            <a:solidFill>
              <a:srgbClr val="FF0000"/>
            </a:solidFill>
            <a:ln w="25400">
              <a:noFill/>
            </a:ln>
            <a:effectLst>
              <a:outerShdw dist="35921" dir="2700000" algn="br">
                <a:srgbClr val="000000"/>
              </a:outerShdw>
            </a:effectLst>
          </c:spPr>
          <c:dLbls>
            <c:dLbl>
              <c:idx val="0"/>
              <c:delete val="1"/>
            </c:dLbl>
            <c:dLbl>
              <c:idx val="1"/>
              <c:delete val="1"/>
            </c:dLbl>
            <c:dLbl>
              <c:idx val="3"/>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'[MODELO_RS_2011_irene.xls]IVA Gráficos'!$L$58,'[MODELO_RS_2011_irene.xls]IVA Gráficos'!$N$58,'[MODELO_RS_2011_irene.xls]IVA Gráficos'!$P$58,'[MODELO_RS_2011_irene.xls]IVA Gráficos'!$R$58</c:f>
              <c:numCache>
                <c:formatCode>0</c:formatCode>
                <c:ptCount val="4"/>
                <c:pt idx="0">
                  <c:v>2007</c:v>
                </c:pt>
                <c:pt idx="1">
                  <c:v>2008</c:v>
                </c:pt>
                <c:pt idx="2">
                  <c:v>2009</c:v>
                </c:pt>
                <c:pt idx="3">
                  <c:v>2010</c:v>
                </c:pt>
              </c:numCache>
            </c:numRef>
          </c:cat>
          <c:val>
            <c:numRef>
              <c:f>'[MODELO_RS_2011_irene.xls]IVA Gráficos'!$L$62,'[MODELO_RS_2011_irene.xls]IVA Gráficos'!$N$62,'[MODELO_RS_2011_irene.xls]IVA Gráficos'!$P$62,'[MODELO_RS_2011_irene.xls]IVA Gráficos'!$R$62</c:f>
              <c:numCache>
                <c:formatCode>0</c:formatCode>
                <c:ptCount val="4"/>
                <c:pt idx="0">
                  <c:v>0</c:v>
                </c:pt>
                <c:pt idx="1">
                  <c:v>0</c:v>
                </c:pt>
                <c:pt idx="2">
                  <c:v>1</c:v>
                </c:pt>
                <c:pt idx="3">
                  <c:v>0</c:v>
                </c:pt>
              </c:numCache>
            </c:numRef>
          </c:val>
        </c:ser>
        <c:ser>
          <c:idx val="4"/>
          <c:order val="4"/>
          <c:tx>
            <c:strRef>
              <c:f>'IVA Gráficos'!$K$63</c:f>
              <c:strCache>
                <c:ptCount val="1"/>
                <c:pt idx="0">
                  <c:v>Péssimo</c:v>
                </c:pt>
              </c:strCache>
            </c:strRef>
          </c:tx>
          <c:spPr>
            <a:solidFill>
              <a:srgbClr val="9999FF"/>
            </a:solidFill>
            <a:ln w="25400">
              <a:noFill/>
            </a:ln>
            <a:effectLst>
              <a:outerShdw dist="35921" dir="2700000" algn="br">
                <a:srgbClr val="000000"/>
              </a:outerShdw>
            </a:effectLst>
          </c:spPr>
          <c:cat>
            <c:numRef>
              <c:f>'[MODELO_RS_2011_irene.xls]IVA Gráficos'!$L$58,'[MODELO_RS_2011_irene.xls]IVA Gráficos'!$N$58,'[MODELO_RS_2011_irene.xls]IVA Gráficos'!$P$58,'[MODELO_RS_2011_irene.xls]IVA Gráficos'!$R$58</c:f>
              <c:numCache>
                <c:formatCode>0</c:formatCode>
                <c:ptCount val="4"/>
                <c:pt idx="0">
                  <c:v>2007</c:v>
                </c:pt>
                <c:pt idx="1">
                  <c:v>2008</c:v>
                </c:pt>
                <c:pt idx="2">
                  <c:v>2009</c:v>
                </c:pt>
                <c:pt idx="3">
                  <c:v>2010</c:v>
                </c:pt>
              </c:numCache>
            </c:numRef>
          </c:cat>
          <c:val>
            <c:numRef>
              <c:f>'[MODELO_RS_2011_irene.xls]IVA Gráficos'!$L$63,'[MODELO_RS_2011_irene.xls]IVA Gráficos'!$N$63,'[MODELO_RS_2011_irene.xls]IVA Gráficos'!$P$63,'[MODELO_RS_2011_irene.xls]IVA Gráficos'!$R$63</c:f>
              <c:numCache>
                <c:formatCode>0</c:formatCode>
                <c:ptCount val="4"/>
                <c:pt idx="0">
                  <c:v>0</c:v>
                </c:pt>
                <c:pt idx="1">
                  <c:v>0</c:v>
                </c:pt>
                <c:pt idx="2">
                  <c:v>0</c:v>
                </c:pt>
                <c:pt idx="3">
                  <c:v>0</c:v>
                </c:pt>
              </c:numCache>
            </c:numRef>
          </c:val>
        </c:ser>
        <c:shape val="box"/>
        <c:axId val="116660480"/>
        <c:axId val="116809728"/>
        <c:axId val="0"/>
      </c:bar3DChart>
      <c:catAx>
        <c:axId val="116660480"/>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809728"/>
        <c:crosses val="autoZero"/>
        <c:auto val="1"/>
        <c:lblAlgn val="ctr"/>
        <c:lblOffset val="100"/>
      </c:catAx>
      <c:valAx>
        <c:axId val="116809728"/>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660480"/>
        <c:crosses val="autoZero"/>
        <c:crossBetween val="between"/>
      </c:valAx>
      <c:spPr>
        <a:noFill/>
        <a:ln w="25400">
          <a:noFill/>
        </a:ln>
      </c:spPr>
    </c:plotArea>
    <c:legend>
      <c:legendPos val="r"/>
      <c:layout>
        <c:manualLayout>
          <c:xMode val="edge"/>
          <c:yMode val="edge"/>
          <c:x val="0.77287066246057035"/>
          <c:y val="0.14077669902912621"/>
          <c:w val="0.21135646687697207"/>
          <c:h val="0.58252427184465838"/>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manualLayout>
          <c:layoutTarget val="inner"/>
          <c:xMode val="edge"/>
          <c:yMode val="edge"/>
          <c:x val="0.15564217120068852"/>
          <c:y val="7.8947706567410944E-2"/>
          <c:w val="0.59338577770262313"/>
          <c:h val="0.78947706567410969"/>
        </c:manualLayout>
      </c:layout>
      <c:bar3DChart>
        <c:barDir val="col"/>
        <c:grouping val="stacked"/>
        <c:ser>
          <c:idx val="0"/>
          <c:order val="0"/>
          <c:tx>
            <c:strRef>
              <c:f>'[1]IET Gráficos'!$W$67</c:f>
              <c:strCache>
                <c:ptCount val="1"/>
                <c:pt idx="0">
                  <c:v>Ultraoligotrófico</c:v>
                </c:pt>
              </c:strCache>
            </c:strRef>
          </c:tx>
          <c:spPr>
            <a:solidFill>
              <a:srgbClr val="0070C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Gráficos'!$X$67,'[MODELO_RS_2011_IET_CORRIGIDO.xls]IET Gráficos'!$Z$67,'[MODELO_RS_2011_IET_CORRIGIDO.xls]IET Gráficos'!$AB$67,'[MODELO_RS_2011_IET_CORRIGIDO.xls]IET Gráficos'!$AD$67</c:f>
              <c:numCache>
                <c:formatCode>General</c:formatCode>
                <c:ptCount val="4"/>
                <c:pt idx="1">
                  <c:v>1</c:v>
                </c:pt>
                <c:pt idx="2">
                  <c:v>1</c:v>
                </c:pt>
                <c:pt idx="3">
                  <c:v>1</c:v>
                </c:pt>
              </c:numCache>
            </c:numRef>
          </c:val>
        </c:ser>
        <c:ser>
          <c:idx val="1"/>
          <c:order val="1"/>
          <c:tx>
            <c:strRef>
              <c:f>'[1]IET Gráficos'!$W$68</c:f>
              <c:strCache>
                <c:ptCount val="1"/>
                <c:pt idx="0">
                  <c:v>Oligotrófico</c:v>
                </c:pt>
              </c:strCache>
            </c:strRef>
          </c:tx>
          <c:spPr>
            <a:solidFill>
              <a:srgbClr val="00B05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Gráficos'!$X$68,'[MODELO_RS_2011_IET_CORRIGIDO.xls]IET Gráficos'!$Z$68,'[MODELO_RS_2011_IET_CORRIGIDO.xls]IET Gráficos'!$AB$68,'[MODELO_RS_2011_IET_CORRIGIDO.xls]IET Gráficos'!$AD$68</c:f>
              <c:numCache>
                <c:formatCode>General</c:formatCode>
                <c:ptCount val="4"/>
                <c:pt idx="3">
                  <c:v>1</c:v>
                </c:pt>
              </c:numCache>
            </c:numRef>
          </c:val>
        </c:ser>
        <c:ser>
          <c:idx val="2"/>
          <c:order val="2"/>
          <c:tx>
            <c:strRef>
              <c:f>'[1]IET Gráficos'!$W$69</c:f>
              <c:strCache>
                <c:ptCount val="1"/>
                <c:pt idx="0">
                  <c:v>Mesotrófico</c:v>
                </c:pt>
              </c:strCache>
            </c:strRef>
          </c:tx>
          <c:spPr>
            <a:solidFill>
              <a:srgbClr val="FFFF0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Gráficos'!$X$69,'[MODELO_RS_2011_IET_CORRIGIDO.xls]IET Gráficos'!$Z$69,'[MODELO_RS_2011_IET_CORRIGIDO.xls]IET Gráficos'!$AB$69,'[MODELO_RS_2011_IET_CORRIGIDO.xls]IET Gráficos'!$AD$69</c:f>
              <c:numCache>
                <c:formatCode>General</c:formatCode>
                <c:ptCount val="4"/>
                <c:pt idx="0">
                  <c:v>1</c:v>
                </c:pt>
                <c:pt idx="1">
                  <c:v>2</c:v>
                </c:pt>
                <c:pt idx="2">
                  <c:v>8</c:v>
                </c:pt>
                <c:pt idx="3">
                  <c:v>11</c:v>
                </c:pt>
              </c:numCache>
            </c:numRef>
          </c:val>
        </c:ser>
        <c:ser>
          <c:idx val="3"/>
          <c:order val="3"/>
          <c:tx>
            <c:strRef>
              <c:f>'[1]IET Gráficos'!$W$70</c:f>
              <c:strCache>
                <c:ptCount val="1"/>
                <c:pt idx="0">
                  <c:v>Eutrófico</c:v>
                </c:pt>
              </c:strCache>
            </c:strRef>
          </c:tx>
          <c:spPr>
            <a:solidFill>
              <a:schemeClr val="accent6"/>
            </a:solidFill>
          </c:spPr>
          <c:dLbls>
            <c:dLbl>
              <c:idx val="3"/>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Gráficos'!$X$70,'[MODELO_RS_2011_IET_CORRIGIDO.xls]IET Gráficos'!$Z$70,'[MODELO_RS_2011_IET_CORRIGIDO.xls]IET Gráficos'!$AB$70,'[MODELO_RS_2011_IET_CORRIGIDO.xls]IET Gráficos'!$AD$70</c:f>
              <c:numCache>
                <c:formatCode>General</c:formatCode>
                <c:ptCount val="4"/>
                <c:pt idx="0">
                  <c:v>3</c:v>
                </c:pt>
                <c:pt idx="1">
                  <c:v>5</c:v>
                </c:pt>
                <c:pt idx="2">
                  <c:v>4</c:v>
                </c:pt>
                <c:pt idx="3">
                  <c:v>0</c:v>
                </c:pt>
              </c:numCache>
            </c:numRef>
          </c:val>
        </c:ser>
        <c:ser>
          <c:idx val="4"/>
          <c:order val="4"/>
          <c:tx>
            <c:strRef>
              <c:f>'[1]IET Gráficos'!$W$71</c:f>
              <c:strCache>
                <c:ptCount val="1"/>
                <c:pt idx="0">
                  <c:v>Supereutrófico</c:v>
                </c:pt>
              </c:strCache>
            </c:strRef>
          </c:tx>
          <c:spPr>
            <a:solidFill>
              <a:srgbClr val="FF000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Gráficos'!$X$71,'[MODELO_RS_2011_IET_CORRIGIDO.xls]IET Gráficos'!$Z$71,'[MODELO_RS_2011_IET_CORRIGIDO.xls]IET Gráficos'!$AB$71,'[MODELO_RS_2011_IET_CORRIGIDO.xls]IET Gráficos'!$AD$71</c:f>
              <c:numCache>
                <c:formatCode>General</c:formatCode>
                <c:ptCount val="4"/>
                <c:pt idx="0">
                  <c:v>3</c:v>
                </c:pt>
                <c:pt idx="1">
                  <c:v>1</c:v>
                </c:pt>
              </c:numCache>
            </c:numRef>
          </c:val>
        </c:ser>
        <c:ser>
          <c:idx val="5"/>
          <c:order val="5"/>
          <c:tx>
            <c:strRef>
              <c:f>'[1]IET Gráficos'!$W$72</c:f>
              <c:strCache>
                <c:ptCount val="1"/>
                <c:pt idx="0">
                  <c:v>Hipereutrófico</c:v>
                </c:pt>
              </c:strCache>
            </c:strRef>
          </c:tx>
          <c:spPr>
            <a:solidFill>
              <a:srgbClr val="7030A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'[MODELO_RS_2011_IET_CORRIGIDO.xls]IET Gráficos'!$X$66,'[MODELO_RS_2011_IET_CORRIGIDO.xls]IET Gráficos'!$Z$66,'[MODELO_RS_2011_IET_CORRIGIDO.xls]IET Gráficos'!$AB$66,'[MODELO_RS_2011_IET_CORRIGIDO.xls]IET Gráficos'!$AD$66</c:f>
              <c:numCache>
                <c:formatCode>General</c:formatCode>
                <c:ptCount val="4"/>
                <c:pt idx="0">
                  <c:v>2007</c:v>
                </c:pt>
                <c:pt idx="1">
                  <c:v>2008</c:v>
                </c:pt>
                <c:pt idx="2">
                  <c:v>2009</c:v>
                </c:pt>
                <c:pt idx="3">
                  <c:v>2010</c:v>
                </c:pt>
              </c:numCache>
            </c:numRef>
          </c:cat>
          <c:val>
            <c:numRef>
              <c:f>'[MODELO_RS_2011_IET_CORRIGIDO.xls]IET Gráficos'!$X$72,'[MODELO_RS_2011_IET_CORRIGIDO.xls]IET Gráficos'!$Z$72,'[MODELO_RS_2011_IET_CORRIGIDO.xls]IET Gráficos'!$AB$72,'[MODELO_RS_2011_IET_CORRIGIDO.xls]IET Gráficos'!$AD$72</c:f>
              <c:numCache>
                <c:formatCode>General</c:formatCode>
                <c:ptCount val="4"/>
                <c:pt idx="0">
                  <c:v>3</c:v>
                </c:pt>
                <c:pt idx="1">
                  <c:v>4</c:v>
                </c:pt>
              </c:numCache>
            </c:numRef>
          </c:val>
        </c:ser>
        <c:shape val="box"/>
        <c:axId val="116922240"/>
        <c:axId val="116923776"/>
        <c:axId val="0"/>
      </c:bar3DChart>
      <c:catAx>
        <c:axId val="11692224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923776"/>
        <c:crosses val="autoZero"/>
        <c:auto val="1"/>
        <c:lblAlgn val="ctr"/>
        <c:lblOffset val="100"/>
      </c:catAx>
      <c:valAx>
        <c:axId val="116923776"/>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pt-BR"/>
                  <a:t>Nº de Pontos</a:t>
                </a:r>
              </a:p>
            </c:rich>
          </c:tx>
          <c:spPr>
            <a:noFill/>
            <a:ln w="25400">
              <a:noFill/>
            </a:ln>
          </c:spPr>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6922240"/>
        <c:crosses val="autoZero"/>
        <c:crossBetween val="between"/>
        <c:majorUnit val="2"/>
      </c:valAx>
      <c:spPr>
        <a:noFill/>
        <a:ln w="25400">
          <a:noFill/>
        </a:ln>
      </c:spPr>
    </c:plotArea>
    <c:legend>
      <c:legendPos val="r"/>
      <c:layout>
        <c:manualLayout>
          <c:xMode val="edge"/>
          <c:yMode val="edge"/>
          <c:x val="0.77237441250076522"/>
          <c:y val="9.2105723626651953E-2"/>
          <c:w val="0.21595352906468088"/>
          <c:h val="0.53070405672975085"/>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4936708860759529"/>
          <c:y val="7.5000000000000011E-2"/>
          <c:w val="0.81265822784810282"/>
          <c:h val="0.77000000000000124"/>
        </c:manualLayout>
      </c:layout>
      <c:barChart>
        <c:barDir val="col"/>
        <c:grouping val="clustered"/>
        <c:ser>
          <c:idx val="0"/>
          <c:order val="0"/>
          <c:tx>
            <c:strRef>
              <c:f>'Base de Cálculo'!$A$303</c:f>
              <c:strCache>
                <c:ptCount val="1"/>
                <c:pt idx="0">
                  <c:v>E.01-E</c:v>
                </c:pt>
              </c:strCache>
            </c:strRef>
          </c:tx>
          <c:spPr>
            <a:solidFill>
              <a:srgbClr val="FF99CC"/>
            </a:solidFill>
            <a:ln w="25400">
              <a:noFill/>
            </a:ln>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ctr"/>
            <c:showVal val="1"/>
          </c:dLbls>
          <c:cat>
            <c:numRef>
              <c:f>'Base de Cálculo'!$B$302:$E$302</c:f>
              <c:numCache>
                <c:formatCode>General</c:formatCode>
                <c:ptCount val="4"/>
                <c:pt idx="0">
                  <c:v>2007</c:v>
                </c:pt>
                <c:pt idx="1">
                  <c:v>2008</c:v>
                </c:pt>
                <c:pt idx="2">
                  <c:v>2009</c:v>
                </c:pt>
                <c:pt idx="3">
                  <c:v>2010</c:v>
                </c:pt>
              </c:numCache>
            </c:numRef>
          </c:cat>
          <c:val>
            <c:numRef>
              <c:f>'Base de Cálculo'!$B$303:$E$303</c:f>
              <c:numCache>
                <c:formatCode>General</c:formatCode>
                <c:ptCount val="4"/>
                <c:pt idx="0">
                  <c:v>98</c:v>
                </c:pt>
                <c:pt idx="1">
                  <c:v>91</c:v>
                </c:pt>
                <c:pt idx="2">
                  <c:v>96</c:v>
                </c:pt>
              </c:numCache>
            </c:numRef>
          </c:val>
        </c:ser>
        <c:axId val="117039104"/>
        <c:axId val="117040640"/>
      </c:barChart>
      <c:catAx>
        <c:axId val="117039104"/>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7040640"/>
        <c:crosses val="autoZero"/>
        <c:auto val="1"/>
        <c:lblAlgn val="ctr"/>
        <c:lblOffset val="100"/>
        <c:tickLblSkip val="1"/>
        <c:tickMarkSkip val="1"/>
      </c:catAx>
      <c:valAx>
        <c:axId val="117040640"/>
        <c:scaling>
          <c:orientation val="minMax"/>
          <c:max val="100"/>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a:t>
                </a:r>
              </a:p>
            </c:rich>
          </c:tx>
          <c:layout>
            <c:manualLayout>
              <c:xMode val="edge"/>
              <c:yMode val="edge"/>
              <c:x val="2.2784879162831919E-2"/>
              <c:y val="0.42500000000000032"/>
            </c:manualLayout>
          </c:layout>
          <c:spPr>
            <a:noFill/>
            <a:ln w="25400">
              <a:noFill/>
            </a:ln>
          </c:spPr>
        </c:title>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7039104"/>
        <c:crosses val="autoZero"/>
        <c:crossBetween val="between"/>
        <c:majorUnit val="20"/>
      </c:valAx>
      <c:spPr>
        <a:noFill/>
        <a:ln w="3175">
          <a:solidFill>
            <a:srgbClr val="969696"/>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5288257969772992"/>
          <c:y val="9.4059633304729551E-2"/>
          <c:w val="0.76441289848864968"/>
          <c:h val="0.6584174331331073"/>
        </c:manualLayout>
      </c:layout>
      <c:barChart>
        <c:barDir val="col"/>
        <c:grouping val="percentStacked"/>
        <c:ser>
          <c:idx val="0"/>
          <c:order val="0"/>
          <c:tx>
            <c:strRef>
              <c:f>'Base de Cálculo'!$A$341</c:f>
              <c:strCache>
                <c:ptCount val="1"/>
                <c:pt idx="0">
                  <c:v>Conforme</c:v>
                </c:pt>
              </c:strCache>
            </c:strRef>
          </c:tx>
          <c:spPr>
            <a:solidFill>
              <a:srgbClr val="3366FF"/>
            </a:solidFill>
            <a:ln w="25400">
              <a:noFill/>
            </a:ln>
          </c:spPr>
          <c:dLbls>
            <c:dLbl>
              <c:idx val="0"/>
              <c:tx>
                <c:rich>
                  <a:bodyPr/>
                  <a:lstStyle/>
                  <a:p>
                    <a:r>
                      <a:rPr lang="pt-BR"/>
                      <a:t>100</a:t>
                    </a:r>
                  </a:p>
                </c:rich>
              </c:tx>
            </c:dLbl>
            <c:dLbl>
              <c:idx val="1"/>
              <c:tx>
                <c:rich>
                  <a:bodyPr/>
                  <a:lstStyle/>
                  <a:p>
                    <a:r>
                      <a:rPr lang="pt-BR"/>
                      <a:t>100</a:t>
                    </a:r>
                  </a:p>
                </c:rich>
              </c:tx>
            </c:dLbl>
            <c:dLbl>
              <c:idx val="2"/>
              <c:tx>
                <c:rich>
                  <a:bodyPr/>
                  <a:lstStyle/>
                  <a:p>
                    <a:r>
                      <a:rPr lang="pt-BR"/>
                      <a:t>92</a:t>
                    </a:r>
                  </a:p>
                </c:rich>
              </c:tx>
            </c:dLbl>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Cálculo'!$B$340:$E$340</c:f>
              <c:numCache>
                <c:formatCode>General</c:formatCode>
                <c:ptCount val="4"/>
                <c:pt idx="0">
                  <c:v>2007</c:v>
                </c:pt>
                <c:pt idx="1">
                  <c:v>2008</c:v>
                </c:pt>
                <c:pt idx="2">
                  <c:v>2009</c:v>
                </c:pt>
                <c:pt idx="3">
                  <c:v>2010</c:v>
                </c:pt>
              </c:numCache>
            </c:numRef>
          </c:cat>
          <c:val>
            <c:numRef>
              <c:f>'Base de Cálculo'!$B$341:$E$341</c:f>
              <c:numCache>
                <c:formatCode>0.0</c:formatCode>
                <c:ptCount val="4"/>
                <c:pt idx="0">
                  <c:v>100</c:v>
                </c:pt>
                <c:pt idx="1">
                  <c:v>100</c:v>
                </c:pt>
                <c:pt idx="2">
                  <c:v>92</c:v>
                </c:pt>
              </c:numCache>
            </c:numRef>
          </c:val>
        </c:ser>
        <c:ser>
          <c:idx val="1"/>
          <c:order val="1"/>
          <c:tx>
            <c:strRef>
              <c:f>'Base de Cálculo'!$A$342</c:f>
              <c:strCache>
                <c:ptCount val="1"/>
                <c:pt idx="0">
                  <c:v>Desconforme</c:v>
                </c:pt>
              </c:strCache>
            </c:strRef>
          </c:tx>
          <c:spPr>
            <a:solidFill>
              <a:srgbClr val="FFCC99"/>
            </a:solidFill>
            <a:ln w="25400">
              <a:noFill/>
            </a:ln>
          </c:spPr>
          <c:dLbls>
            <c:dLbl>
              <c:idx val="0"/>
              <c:delete val="1"/>
            </c:dLbl>
            <c:dLbl>
              <c:idx val="1"/>
              <c:delete val="1"/>
            </c:dLbl>
            <c:dLbl>
              <c:idx val="2"/>
              <c:tx>
                <c:rich>
                  <a:bodyPr/>
                  <a:lstStyle/>
                  <a:p>
                    <a:r>
                      <a:rPr lang="pt-BR"/>
                      <a:t>8</a:t>
                    </a:r>
                  </a:p>
                </c:rich>
              </c:tx>
            </c:dLbl>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Cálculo'!$B$340:$E$340</c:f>
              <c:numCache>
                <c:formatCode>General</c:formatCode>
                <c:ptCount val="4"/>
                <c:pt idx="0">
                  <c:v>2007</c:v>
                </c:pt>
                <c:pt idx="1">
                  <c:v>2008</c:v>
                </c:pt>
                <c:pt idx="2">
                  <c:v>2009</c:v>
                </c:pt>
                <c:pt idx="3">
                  <c:v>2010</c:v>
                </c:pt>
              </c:numCache>
            </c:numRef>
          </c:cat>
          <c:val>
            <c:numRef>
              <c:f>'Base de Cálculo'!$B$342:$E$342</c:f>
              <c:numCache>
                <c:formatCode>0.0</c:formatCode>
                <c:ptCount val="4"/>
                <c:pt idx="0">
                  <c:v>0</c:v>
                </c:pt>
                <c:pt idx="1">
                  <c:v>0</c:v>
                </c:pt>
                <c:pt idx="2">
                  <c:v>8</c:v>
                </c:pt>
              </c:numCache>
            </c:numRef>
          </c:val>
        </c:ser>
        <c:overlap val="100"/>
        <c:axId val="117266304"/>
        <c:axId val="117267840"/>
      </c:barChart>
      <c:catAx>
        <c:axId val="117266304"/>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7267840"/>
        <c:crosses val="autoZero"/>
        <c:auto val="1"/>
        <c:lblAlgn val="ctr"/>
        <c:lblOffset val="100"/>
      </c:catAx>
      <c:valAx>
        <c:axId val="117267840"/>
        <c:scaling>
          <c:orientation val="minMax"/>
          <c:max val="1"/>
          <c:min val="0"/>
        </c:scaling>
        <c:axPos val="l"/>
        <c:majorGridlines/>
        <c:numFmt formatCode="0%"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7266304"/>
        <c:crosses val="autoZero"/>
        <c:crossBetween val="between"/>
        <c:majorUnit val="0.2"/>
      </c:valAx>
    </c:plotArea>
    <c:legend>
      <c:legendPos val="b"/>
      <c:layout>
        <c:manualLayout>
          <c:xMode val="edge"/>
          <c:yMode val="edge"/>
          <c:x val="0.19935691318327975"/>
          <c:y val="0.87128920766092455"/>
          <c:w val="0.77170418006430863"/>
          <c:h val="0.10891141082612199"/>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23917196791079082"/>
          <c:y val="8.8235808759199771E-2"/>
          <c:w val="0.72881556986992857"/>
          <c:h val="0.65686588956174163"/>
        </c:manualLayout>
      </c:layout>
      <c:barChart>
        <c:barDir val="col"/>
        <c:grouping val="clustered"/>
        <c:ser>
          <c:idx val="0"/>
          <c:order val="0"/>
          <c:tx>
            <c:strRef>
              <c:f>'Base de Cálculo'!$A$382</c:f>
              <c:strCache>
                <c:ptCount val="1"/>
                <c:pt idx="0">
                  <c:v>E.05-A</c:v>
                </c:pt>
              </c:strCache>
            </c:strRef>
          </c:tx>
          <c:spPr>
            <a:solidFill>
              <a:srgbClr val="9999FF"/>
            </a:solidFill>
            <a:ln w="25400">
              <a:noFill/>
            </a:ln>
          </c:spPr>
          <c:dLbls>
            <c:dLbl>
              <c:idx val="0"/>
              <c:layout>
                <c:manualLayout>
                  <c:x val="-8.2109319176806566E-3"/>
                  <c:y val="0.36723367054235889"/>
                </c:manualLayout>
              </c:layout>
              <c:dLblPos val="outEnd"/>
              <c:showVal val="1"/>
            </c:dLbl>
            <c:dLbl>
              <c:idx val="1"/>
              <c:layout>
                <c:manualLayout>
                  <c:x val="-2.5611217814777106E-3"/>
                  <c:y val="0.46568850379377286"/>
                </c:manualLayout>
              </c:layout>
              <c:dLblPos val="outEnd"/>
              <c:showVal val="1"/>
            </c:dLbl>
            <c:dLbl>
              <c:idx val="2"/>
              <c:layout>
                <c:manualLayout>
                  <c:x val="-2.5610447450417077E-3"/>
                  <c:y val="0.28365691175485591"/>
                </c:manualLayout>
              </c:layout>
              <c:dLblPos val="outEnd"/>
              <c:showVal val="1"/>
            </c:dLbl>
            <c:dLbl>
              <c:idx val="3"/>
              <c:layout>
                <c:manualLayout>
                  <c:x val="-4.4375416019525231E-3"/>
                  <c:y val="0.20251113811259641"/>
                </c:manualLayout>
              </c:layout>
              <c:showVal val="1"/>
            </c:dLbl>
            <c:spPr>
              <a:noFill/>
              <a:ln w="25400">
                <a:noFill/>
              </a:ln>
            </c:spPr>
            <c:txPr>
              <a:bodyPr rot="-5400000" vert="horz"/>
              <a:lstStyle/>
              <a:p>
                <a:pPr algn="ctr">
                  <a:defRPr sz="925" b="0" i="0" u="none" strike="noStrike" baseline="0">
                    <a:solidFill>
                      <a:srgbClr val="000000"/>
                    </a:solidFill>
                    <a:latin typeface="Arial"/>
                    <a:ea typeface="Arial"/>
                    <a:cs typeface="Arial"/>
                  </a:defRPr>
                </a:pPr>
                <a:endParaRPr lang="pt-BR"/>
              </a:p>
            </c:txPr>
            <c:showVal val="1"/>
          </c:dLbls>
          <c:cat>
            <c:numRef>
              <c:f>'Base de Cálculo'!$B$381:$E$381</c:f>
              <c:numCache>
                <c:formatCode>General</c:formatCode>
                <c:ptCount val="4"/>
                <c:pt idx="0">
                  <c:v>2007</c:v>
                </c:pt>
                <c:pt idx="1">
                  <c:v>2008</c:v>
                </c:pt>
                <c:pt idx="2">
                  <c:v>2009</c:v>
                </c:pt>
                <c:pt idx="3">
                  <c:v>2010</c:v>
                </c:pt>
              </c:numCache>
            </c:numRef>
          </c:cat>
          <c:val>
            <c:numRef>
              <c:f>'Base de Cálculo'!$B$382:$E$382</c:f>
              <c:numCache>
                <c:formatCode>0</c:formatCode>
                <c:ptCount val="4"/>
                <c:pt idx="0">
                  <c:v>831</c:v>
                </c:pt>
                <c:pt idx="1">
                  <c:v>829</c:v>
                </c:pt>
                <c:pt idx="2">
                  <c:v>819</c:v>
                </c:pt>
                <c:pt idx="3">
                  <c:v>847.2</c:v>
                </c:pt>
              </c:numCache>
            </c:numRef>
          </c:val>
        </c:ser>
        <c:axId val="117291264"/>
        <c:axId val="117444608"/>
      </c:barChart>
      <c:catAx>
        <c:axId val="117291264"/>
        <c:scaling>
          <c:orientation val="minMax"/>
        </c:scaling>
        <c:axPos val="b"/>
        <c:numFmt formatCode="General" sourceLinked="1"/>
        <c:tickLblPos val="nextTo"/>
        <c:spPr>
          <a:ln w="3175">
            <a:solidFill>
              <a:srgbClr val="969696"/>
            </a:solidFill>
            <a:prstDash val="solid"/>
          </a:ln>
        </c:spPr>
        <c:txPr>
          <a:bodyPr rot="0" vert="horz"/>
          <a:lstStyle/>
          <a:p>
            <a:pPr>
              <a:defRPr sz="925" b="0" i="0" u="none" strike="noStrike" baseline="0">
                <a:solidFill>
                  <a:srgbClr val="000000"/>
                </a:solidFill>
                <a:latin typeface="Arial"/>
                <a:ea typeface="Arial"/>
                <a:cs typeface="Arial"/>
              </a:defRPr>
            </a:pPr>
            <a:endParaRPr lang="pt-BR"/>
          </a:p>
        </c:txPr>
        <c:crossAx val="117444608"/>
        <c:crosses val="autoZero"/>
        <c:auto val="1"/>
        <c:lblAlgn val="ctr"/>
        <c:lblOffset val="100"/>
        <c:tickLblSkip val="1"/>
        <c:tickMarkSkip val="1"/>
      </c:catAx>
      <c:valAx>
        <c:axId val="117444608"/>
        <c:scaling>
          <c:orientation val="minMax"/>
        </c:scaling>
        <c:axPos val="l"/>
        <c:majorGridlines>
          <c:spPr>
            <a:ln w="3175">
              <a:solidFill>
                <a:srgbClr val="969696"/>
              </a:solidFill>
              <a:prstDash val="solid"/>
            </a:ln>
          </c:spPr>
        </c:majorGridlines>
        <c:title>
          <c:tx>
            <c:rich>
              <a:bodyPr/>
              <a:lstStyle/>
              <a:p>
                <a:pPr>
                  <a:defRPr sz="1025" b="1" i="0" u="none" strike="noStrike" baseline="0">
                    <a:solidFill>
                      <a:srgbClr val="000000"/>
                    </a:solidFill>
                    <a:latin typeface="Arial"/>
                    <a:ea typeface="Arial"/>
                    <a:cs typeface="Arial"/>
                  </a:defRPr>
                </a:pPr>
                <a:r>
                  <a:rPr lang="pt-BR"/>
                  <a:t>m³/hab. ano</a:t>
                </a:r>
              </a:p>
            </c:rich>
          </c:tx>
          <c:layout>
            <c:manualLayout>
              <c:xMode val="edge"/>
              <c:yMode val="edge"/>
              <c:x val="4.5197734121618857E-2"/>
              <c:y val="0.24509880709355777"/>
            </c:manualLayout>
          </c:layout>
          <c:spPr>
            <a:noFill/>
            <a:ln w="25400">
              <a:noFill/>
            </a:ln>
          </c:spPr>
        </c:title>
        <c:numFmt formatCode="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pt-BR"/>
          </a:p>
        </c:txPr>
        <c:crossAx val="117291264"/>
        <c:crosses val="autoZero"/>
        <c:crossBetween val="between"/>
      </c:valAx>
      <c:spPr>
        <a:noFill/>
        <a:ln w="25400">
          <a:noFill/>
        </a:ln>
      </c:spPr>
    </c:plotArea>
    <c:plotVisOnly val="1"/>
    <c:dispBlanksAs val="gap"/>
  </c:chart>
  <c:spPr>
    <a:solidFill>
      <a:srgbClr val="FFFFFF"/>
    </a:solidFill>
    <a:ln w="9525">
      <a:noFill/>
    </a:ln>
  </c:spPr>
  <c:txPr>
    <a:bodyPr/>
    <a:lstStyle/>
    <a:p>
      <a:pPr>
        <a:defRPr sz="925" b="0" i="0" u="none" strike="noStrike" baseline="0">
          <a:solidFill>
            <a:srgbClr val="000000"/>
          </a:solidFill>
          <a:latin typeface="Arial"/>
          <a:ea typeface="Arial"/>
          <a:cs typeface="Arial"/>
        </a:defRPr>
      </a:pPr>
      <a:endParaRPr lang="pt-B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23163905709044291"/>
          <c:y val="0.12745159051197971"/>
          <c:w val="0.72881556986992857"/>
          <c:h val="0.65686588956174163"/>
        </c:manualLayout>
      </c:layout>
      <c:barChart>
        <c:barDir val="col"/>
        <c:grouping val="clustered"/>
        <c:ser>
          <c:idx val="0"/>
          <c:order val="0"/>
          <c:tx>
            <c:strRef>
              <c:f>'Base de Cálculo'!$A$395</c:f>
              <c:strCache>
                <c:ptCount val="1"/>
                <c:pt idx="0">
                  <c:v>E-08-A</c:v>
                </c:pt>
              </c:strCache>
            </c:strRef>
          </c:tx>
          <c:spPr>
            <a:solidFill>
              <a:srgbClr val="9999FF"/>
            </a:solidFill>
            <a:ln w="25400">
              <a:noFill/>
            </a:ln>
          </c:spPr>
          <c:dLbls>
            <c:dLbl>
              <c:idx val="0"/>
              <c:layout>
                <c:manualLayout>
                  <c:x val="-8.2109227871939739E-3"/>
                  <c:y val="0.33455406309505603"/>
                </c:manualLayout>
              </c:layout>
              <c:dLblPos val="outEnd"/>
              <c:showVal val="1"/>
            </c:dLbl>
            <c:dLbl>
              <c:idx val="1"/>
              <c:delete val="1"/>
            </c:dLbl>
            <c:dLbl>
              <c:idx val="2"/>
              <c:layout>
                <c:manualLayout>
                  <c:x val="-2.5610447450417091E-3"/>
                  <c:y val="0.28365691175485613"/>
                </c:manualLayout>
              </c:layout>
              <c:dLblPos val="outEnd"/>
              <c:showVal val="1"/>
            </c:dLbl>
            <c:spPr>
              <a:noFill/>
              <a:ln w="25400">
                <a:noFill/>
              </a:ln>
            </c:spPr>
            <c:txPr>
              <a:bodyPr rot="-5400000" vert="horz"/>
              <a:lstStyle/>
              <a:p>
                <a:pPr algn="ctr">
                  <a:defRPr sz="925" b="0" i="0" u="none" strike="noStrike" baseline="0">
                    <a:solidFill>
                      <a:srgbClr val="000000"/>
                    </a:solidFill>
                    <a:latin typeface="Arial"/>
                    <a:ea typeface="Arial"/>
                    <a:cs typeface="Arial"/>
                  </a:defRPr>
                </a:pPr>
                <a:endParaRPr lang="pt-BR"/>
              </a:p>
            </c:txPr>
            <c:showVal val="1"/>
          </c:dLbls>
          <c:cat>
            <c:strRef>
              <c:f>'Base de Cálculo'!$B$395:$C$395</c:f>
              <c:strCache>
                <c:ptCount val="2"/>
                <c:pt idx="0">
                  <c:v>2009-2010</c:v>
                </c:pt>
                <c:pt idx="1">
                  <c:v>2010-2011</c:v>
                </c:pt>
              </c:strCache>
            </c:strRef>
          </c:cat>
          <c:val>
            <c:numRef>
              <c:f>'Base de Cálculo'!$B$396:$C$396</c:f>
              <c:numCache>
                <c:formatCode>0</c:formatCode>
                <c:ptCount val="2"/>
                <c:pt idx="0">
                  <c:v>1</c:v>
                </c:pt>
                <c:pt idx="1">
                  <c:v>0</c:v>
                </c:pt>
              </c:numCache>
            </c:numRef>
          </c:val>
        </c:ser>
        <c:axId val="117452160"/>
        <c:axId val="117548160"/>
      </c:barChart>
      <c:catAx>
        <c:axId val="117452160"/>
        <c:scaling>
          <c:orientation val="minMax"/>
        </c:scaling>
        <c:axPos val="b"/>
        <c:numFmt formatCode="General" sourceLinked="1"/>
        <c:tickLblPos val="nextTo"/>
        <c:spPr>
          <a:ln w="3175">
            <a:solidFill>
              <a:srgbClr val="969696"/>
            </a:solidFill>
            <a:prstDash val="solid"/>
          </a:ln>
        </c:spPr>
        <c:txPr>
          <a:bodyPr rot="0" vert="horz"/>
          <a:lstStyle/>
          <a:p>
            <a:pPr>
              <a:defRPr sz="925" b="0" i="0" u="none" strike="noStrike" baseline="0">
                <a:solidFill>
                  <a:srgbClr val="000000"/>
                </a:solidFill>
                <a:latin typeface="Arial"/>
                <a:ea typeface="Arial"/>
                <a:cs typeface="Arial"/>
              </a:defRPr>
            </a:pPr>
            <a:endParaRPr lang="pt-BR"/>
          </a:p>
        </c:txPr>
        <c:crossAx val="117548160"/>
        <c:crosses val="autoZero"/>
        <c:auto val="1"/>
        <c:lblAlgn val="ctr"/>
        <c:lblOffset val="100"/>
        <c:tickLblSkip val="1"/>
        <c:tickMarkSkip val="1"/>
      </c:catAx>
      <c:valAx>
        <c:axId val="117548160"/>
        <c:scaling>
          <c:orientation val="minMax"/>
        </c:scaling>
        <c:axPos val="l"/>
        <c:majorGridlines>
          <c:spPr>
            <a:ln w="3175">
              <a:solidFill>
                <a:srgbClr val="969696"/>
              </a:solidFill>
              <a:prstDash val="solid"/>
            </a:ln>
          </c:spPr>
        </c:majorGridlines>
        <c:title>
          <c:tx>
            <c:rich>
              <a:bodyPr/>
              <a:lstStyle/>
              <a:p>
                <a:pPr>
                  <a:defRPr sz="1025" b="1" i="0" u="none" strike="noStrike" baseline="0">
                    <a:solidFill>
                      <a:srgbClr val="000000"/>
                    </a:solidFill>
                    <a:latin typeface="Arial"/>
                    <a:ea typeface="Arial"/>
                    <a:cs typeface="Arial"/>
                  </a:defRPr>
                </a:pPr>
                <a:r>
                  <a:rPr lang="pt-BR"/>
                  <a:t>m³/hab. ano</a:t>
                </a:r>
              </a:p>
            </c:rich>
          </c:tx>
          <c:layout>
            <c:manualLayout>
              <c:xMode val="edge"/>
              <c:yMode val="edge"/>
              <c:x val="4.5197734121618857E-2"/>
              <c:y val="0.24509924540682482"/>
            </c:manualLayout>
          </c:layout>
          <c:spPr>
            <a:noFill/>
            <a:ln w="25400">
              <a:noFill/>
            </a:ln>
          </c:spPr>
        </c:title>
        <c:numFmt formatCode="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pt-BR"/>
          </a:p>
        </c:txPr>
        <c:crossAx val="117452160"/>
        <c:crosses val="autoZero"/>
        <c:crossBetween val="between"/>
      </c:valAx>
      <c:spPr>
        <a:noFill/>
        <a:ln w="25400">
          <a:noFill/>
        </a:ln>
      </c:spPr>
    </c:plotArea>
    <c:plotVisOnly val="1"/>
    <c:dispBlanksAs val="gap"/>
  </c:chart>
  <c:spPr>
    <a:solidFill>
      <a:srgbClr val="FFFFFF"/>
    </a:solidFill>
    <a:ln w="9525">
      <a:noFill/>
    </a:ln>
  </c:spPr>
  <c:txPr>
    <a:bodyPr/>
    <a:lstStyle/>
    <a:p>
      <a:pPr>
        <a:defRPr sz="925" b="0" i="0" u="none" strike="noStrike" baseline="0">
          <a:solidFill>
            <a:srgbClr val="000000"/>
          </a:solidFill>
          <a:latin typeface="Arial"/>
          <a:ea typeface="Arial"/>
          <a:cs typeface="Arial"/>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9191966520592943"/>
          <c:y val="7.317090599015337E-2"/>
          <c:w val="0.74747659080203932"/>
          <c:h val="0.63414785191466261"/>
        </c:manualLayout>
      </c:layout>
      <c:barChart>
        <c:barDir val="col"/>
        <c:grouping val="stacked"/>
        <c:ser>
          <c:idx val="0"/>
          <c:order val="0"/>
          <c:tx>
            <c:strRef>
              <c:f>'Base de Cálculo'!$A$34</c:f>
              <c:strCache>
                <c:ptCount val="1"/>
                <c:pt idx="0">
                  <c:v>22,0 - 60,0</c:v>
                </c:pt>
              </c:strCache>
            </c:strRef>
          </c:tx>
          <c:spPr>
            <a:solidFill>
              <a:sysClr val="window" lastClr="FFFFFF">
                <a:lumMod val="85000"/>
              </a:sysClr>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Cálculo'!$B$33:$E$33</c:f>
              <c:numCache>
                <c:formatCode>General</c:formatCode>
                <c:ptCount val="4"/>
                <c:pt idx="0">
                  <c:v>2007</c:v>
                </c:pt>
                <c:pt idx="1">
                  <c:v>2008</c:v>
                </c:pt>
                <c:pt idx="2">
                  <c:v>2009</c:v>
                </c:pt>
                <c:pt idx="3">
                  <c:v>2010</c:v>
                </c:pt>
              </c:numCache>
            </c:numRef>
          </c:cat>
          <c:val>
            <c:numRef>
              <c:f>'Base de Cálculo'!$B$34:$E$34</c:f>
              <c:numCache>
                <c:formatCode>General</c:formatCode>
                <c:ptCount val="4"/>
                <c:pt idx="3">
                  <c:v>0</c:v>
                </c:pt>
              </c:numCache>
            </c:numRef>
          </c:val>
        </c:ser>
        <c:ser>
          <c:idx val="1"/>
          <c:order val="1"/>
          <c:tx>
            <c:strRef>
              <c:f>'Base de Cálculo'!$A$35</c:f>
              <c:strCache>
                <c:ptCount val="1"/>
                <c:pt idx="0">
                  <c:v>60,1 - 80,0</c:v>
                </c:pt>
              </c:strCache>
            </c:strRef>
          </c:tx>
          <c:spPr>
            <a:solidFill>
              <a:srgbClr val="B6B6B6"/>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Cálculo'!$B$33:$E$33</c:f>
              <c:numCache>
                <c:formatCode>General</c:formatCode>
                <c:ptCount val="4"/>
                <c:pt idx="0">
                  <c:v>2007</c:v>
                </c:pt>
                <c:pt idx="1">
                  <c:v>2008</c:v>
                </c:pt>
                <c:pt idx="2">
                  <c:v>2009</c:v>
                </c:pt>
                <c:pt idx="3">
                  <c:v>2010</c:v>
                </c:pt>
              </c:numCache>
            </c:numRef>
          </c:cat>
          <c:val>
            <c:numRef>
              <c:f>'Base de Cálculo'!$B$35:$E$35</c:f>
              <c:numCache>
                <c:formatCode>General</c:formatCode>
                <c:ptCount val="4"/>
                <c:pt idx="0">
                  <c:v>7</c:v>
                </c:pt>
                <c:pt idx="1">
                  <c:v>7</c:v>
                </c:pt>
                <c:pt idx="2">
                  <c:v>7</c:v>
                </c:pt>
                <c:pt idx="3">
                  <c:v>5</c:v>
                </c:pt>
              </c:numCache>
            </c:numRef>
          </c:val>
        </c:ser>
        <c:ser>
          <c:idx val="2"/>
          <c:order val="2"/>
          <c:tx>
            <c:strRef>
              <c:f>'Base de Cálculo'!$A$36</c:f>
              <c:strCache>
                <c:ptCount val="1"/>
                <c:pt idx="0">
                  <c:v>80,1 - 90,0</c:v>
                </c:pt>
              </c:strCache>
            </c:strRef>
          </c:tx>
          <c:spPr>
            <a:solidFill>
              <a:sysClr val="window" lastClr="FFFFFF">
                <a:lumMod val="50000"/>
              </a:sysClr>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Cálculo'!$B$33:$E$33</c:f>
              <c:numCache>
                <c:formatCode>General</c:formatCode>
                <c:ptCount val="4"/>
                <c:pt idx="0">
                  <c:v>2007</c:v>
                </c:pt>
                <c:pt idx="1">
                  <c:v>2008</c:v>
                </c:pt>
                <c:pt idx="2">
                  <c:v>2009</c:v>
                </c:pt>
                <c:pt idx="3">
                  <c:v>2010</c:v>
                </c:pt>
              </c:numCache>
            </c:numRef>
          </c:cat>
          <c:val>
            <c:numRef>
              <c:f>'Base de Cálculo'!$B$36:$E$36</c:f>
              <c:numCache>
                <c:formatCode>General</c:formatCode>
                <c:ptCount val="4"/>
                <c:pt idx="0">
                  <c:v>7</c:v>
                </c:pt>
                <c:pt idx="1">
                  <c:v>7</c:v>
                </c:pt>
                <c:pt idx="2">
                  <c:v>7</c:v>
                </c:pt>
                <c:pt idx="3">
                  <c:v>7</c:v>
                </c:pt>
              </c:numCache>
            </c:numRef>
          </c:val>
        </c:ser>
        <c:ser>
          <c:idx val="3"/>
          <c:order val="3"/>
          <c:tx>
            <c:strRef>
              <c:f>'Base de Cálculo'!$A$37</c:f>
              <c:strCache>
                <c:ptCount val="1"/>
                <c:pt idx="0">
                  <c:v>90,1 - 100</c:v>
                </c:pt>
              </c:strCache>
            </c:strRef>
          </c:tx>
          <c:spPr>
            <a:solidFill>
              <a:srgbClr val="545454"/>
            </a:solidFill>
          </c:spPr>
          <c:dLbls>
            <c:spPr>
              <a:noFill/>
              <a:ln w="25400">
                <a:noFill/>
              </a:ln>
            </c:spPr>
            <c:txPr>
              <a:bodyPr/>
              <a:lstStyle/>
              <a:p>
                <a:pPr>
                  <a:defRPr sz="800" b="1" i="0" u="none" strike="noStrike" baseline="0">
                    <a:solidFill>
                      <a:srgbClr val="FFFFFF"/>
                    </a:solidFill>
                    <a:latin typeface="Arial"/>
                    <a:ea typeface="Arial"/>
                    <a:cs typeface="Arial"/>
                  </a:defRPr>
                </a:pPr>
                <a:endParaRPr lang="pt-BR"/>
              </a:p>
            </c:txPr>
            <c:showVal val="1"/>
          </c:dLbls>
          <c:cat>
            <c:numRef>
              <c:f>'Base de Cálculo'!$B$33:$E$33</c:f>
              <c:numCache>
                <c:formatCode>General</c:formatCode>
                <c:ptCount val="4"/>
                <c:pt idx="0">
                  <c:v>2007</c:v>
                </c:pt>
                <c:pt idx="1">
                  <c:v>2008</c:v>
                </c:pt>
                <c:pt idx="2">
                  <c:v>2009</c:v>
                </c:pt>
                <c:pt idx="3">
                  <c:v>2010</c:v>
                </c:pt>
              </c:numCache>
            </c:numRef>
          </c:cat>
          <c:val>
            <c:numRef>
              <c:f>'Base de Cálculo'!$B$37:$E$37</c:f>
              <c:numCache>
                <c:formatCode>General</c:formatCode>
                <c:ptCount val="4"/>
                <c:pt idx="0">
                  <c:v>8</c:v>
                </c:pt>
                <c:pt idx="1">
                  <c:v>8</c:v>
                </c:pt>
                <c:pt idx="2">
                  <c:v>8</c:v>
                </c:pt>
                <c:pt idx="3">
                  <c:v>10</c:v>
                </c:pt>
              </c:numCache>
            </c:numRef>
          </c:val>
        </c:ser>
        <c:overlap val="100"/>
        <c:axId val="114793856"/>
        <c:axId val="114803840"/>
      </c:barChart>
      <c:catAx>
        <c:axId val="114793856"/>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4803840"/>
        <c:crosses val="autoZero"/>
        <c:auto val="1"/>
        <c:lblAlgn val="ctr"/>
        <c:lblOffset val="100"/>
      </c:catAx>
      <c:valAx>
        <c:axId val="114803840"/>
        <c:scaling>
          <c:orientation val="minMax"/>
          <c:max val="25"/>
        </c:scaling>
        <c:axPos val="l"/>
        <c:majorGridlines/>
        <c:title>
          <c:tx>
            <c:rich>
              <a:bodyPr/>
              <a:lstStyle/>
              <a:p>
                <a:pPr>
                  <a:defRPr sz="800" b="1" i="0" u="none" strike="noStrike" baseline="0">
                    <a:solidFill>
                      <a:srgbClr val="000000"/>
                    </a:solidFill>
                    <a:latin typeface="Arial"/>
                    <a:ea typeface="Arial"/>
                    <a:cs typeface="Arial"/>
                  </a:defRPr>
                </a:pPr>
                <a:r>
                  <a:rPr lang="pt-BR"/>
                  <a:t>Nº de Municípios</a:t>
                </a:r>
              </a:p>
            </c:rich>
          </c:tx>
          <c:layout>
            <c:manualLayout>
              <c:xMode val="edge"/>
              <c:yMode val="edge"/>
              <c:x val="3.7061285640341411E-2"/>
              <c:y val="0.14634179506573641"/>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4793856"/>
        <c:crosses val="autoZero"/>
        <c:crossBetween val="between"/>
      </c:valAx>
    </c:plotArea>
    <c:legend>
      <c:legendPos val="b"/>
      <c:layout>
        <c:manualLayout>
          <c:xMode val="edge"/>
          <c:yMode val="edge"/>
          <c:x val="1.7123287671232879E-2"/>
          <c:y val="0.92156862745098034"/>
          <c:w val="0.9006849315068497"/>
          <c:h val="6.3725490196078483E-2"/>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t-BR"/>
  <c:style val="3"/>
  <c:chart>
    <c:autoTitleDeleted val="1"/>
    <c:plotArea>
      <c:layout>
        <c:manualLayout>
          <c:layoutTarget val="inner"/>
          <c:xMode val="edge"/>
          <c:yMode val="edge"/>
          <c:x val="0.24101566478511219"/>
          <c:y val="0.11111135912975208"/>
          <c:w val="0.69802802949763476"/>
          <c:h val="0.70085762577468025"/>
        </c:manualLayout>
      </c:layout>
      <c:barChart>
        <c:barDir val="col"/>
        <c:grouping val="clustered"/>
        <c:ser>
          <c:idx val="0"/>
          <c:order val="0"/>
          <c:tx>
            <c:strRef>
              <c:f>'Base de Cálculo'!$A$432</c:f>
              <c:strCache>
                <c:ptCount val="1"/>
                <c:pt idx="0">
                  <c:v>R.03-B</c:v>
                </c:pt>
              </c:strCache>
            </c:strRef>
          </c:tx>
          <c:spPr>
            <a:solidFill>
              <a:schemeClr val="accent4">
                <a:lumMod val="60000"/>
                <a:lumOff val="40000"/>
              </a:schemeClr>
            </a:solidFill>
          </c:spPr>
          <c:dPt>
            <c:idx val="1"/>
            <c:spPr>
              <a:solidFill>
                <a:schemeClr val="accent4">
                  <a:lumMod val="60000"/>
                  <a:lumOff val="40000"/>
                </a:schemeClr>
              </a:solidFill>
            </c:spPr>
          </c:dPt>
          <c:dPt>
            <c:idx val="2"/>
            <c:spPr>
              <a:solidFill>
                <a:schemeClr val="accent4">
                  <a:lumMod val="60000"/>
                  <a:lumOff val="40000"/>
                </a:schemeClr>
              </a:solidFill>
            </c:spPr>
          </c:dPt>
          <c:dLbls>
            <c:spPr>
              <a:noFill/>
              <a:ln w="25400">
                <a:noFill/>
              </a:ln>
            </c:spPr>
            <c:dLblPos val="ctr"/>
            <c:showVal val="1"/>
          </c:dLbls>
          <c:cat>
            <c:numRef>
              <c:f>'Base de Cálculo'!$B$431:$E$431</c:f>
              <c:numCache>
                <c:formatCode>General</c:formatCode>
                <c:ptCount val="4"/>
                <c:pt idx="0">
                  <c:v>2007</c:v>
                </c:pt>
                <c:pt idx="1">
                  <c:v>2008</c:v>
                </c:pt>
                <c:pt idx="2">
                  <c:v>2009</c:v>
                </c:pt>
                <c:pt idx="3" formatCode="0">
                  <c:v>2010</c:v>
                </c:pt>
              </c:numCache>
            </c:numRef>
          </c:cat>
          <c:val>
            <c:numRef>
              <c:f>'Base de Cálculo'!$B$432:$E$432</c:f>
              <c:numCache>
                <c:formatCode>0</c:formatCode>
                <c:ptCount val="4"/>
                <c:pt idx="0">
                  <c:v>6</c:v>
                </c:pt>
                <c:pt idx="1">
                  <c:v>3</c:v>
                </c:pt>
                <c:pt idx="2">
                  <c:v>7</c:v>
                </c:pt>
                <c:pt idx="3">
                  <c:v>7</c:v>
                </c:pt>
              </c:numCache>
            </c:numRef>
          </c:val>
        </c:ser>
        <c:axId val="117569024"/>
        <c:axId val="117570560"/>
      </c:barChart>
      <c:catAx>
        <c:axId val="117569024"/>
        <c:scaling>
          <c:orientation val="minMax"/>
        </c:scaling>
        <c:axPos val="b"/>
        <c:numFmt formatCode="General" sourceLinked="1"/>
        <c:tickLblPos val="nextTo"/>
        <c:txPr>
          <a:bodyPr rot="0" vert="horz"/>
          <a:lstStyle/>
          <a:p>
            <a:pPr>
              <a:defRPr/>
            </a:pPr>
            <a:endParaRPr lang="pt-BR"/>
          </a:p>
        </c:txPr>
        <c:crossAx val="117570560"/>
        <c:crosses val="autoZero"/>
        <c:auto val="1"/>
        <c:lblAlgn val="ctr"/>
        <c:lblOffset val="100"/>
        <c:tickLblSkip val="1"/>
        <c:tickMarkSkip val="1"/>
      </c:catAx>
      <c:valAx>
        <c:axId val="117570560"/>
        <c:scaling>
          <c:orientation val="minMax"/>
        </c:scaling>
        <c:axPos val="l"/>
        <c:majorGridlines/>
        <c:title>
          <c:tx>
            <c:rich>
              <a:bodyPr/>
              <a:lstStyle/>
              <a:p>
                <a:pPr>
                  <a:defRPr/>
                </a:pPr>
                <a:r>
                  <a:rPr lang="pt-BR"/>
                  <a:t>n° ocorrências/ano</a:t>
                </a:r>
              </a:p>
            </c:rich>
          </c:tx>
          <c:layout>
            <c:manualLayout>
              <c:xMode val="edge"/>
              <c:yMode val="edge"/>
              <c:x val="1.4661274186367593E-2"/>
              <c:y val="0.1740726272986676"/>
            </c:manualLayout>
          </c:layout>
          <c:spPr>
            <a:noFill/>
            <a:ln w="25400">
              <a:noFill/>
            </a:ln>
          </c:spPr>
        </c:title>
        <c:numFmt formatCode="0" sourceLinked="1"/>
        <c:tickLblPos val="nextTo"/>
        <c:txPr>
          <a:bodyPr rot="0" vert="horz"/>
          <a:lstStyle/>
          <a:p>
            <a:pPr>
              <a:defRPr/>
            </a:pPr>
            <a:endParaRPr lang="pt-BR"/>
          </a:p>
        </c:txPr>
        <c:crossAx val="117569024"/>
        <c:crosses val="autoZero"/>
        <c:crossBetween val="between"/>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7791411042944838"/>
          <c:y val="5.2419354838709818E-2"/>
          <c:w val="0.6165644171779141"/>
          <c:h val="0.6733870967741955"/>
        </c:manualLayout>
      </c:layout>
      <c:barChart>
        <c:barDir val="col"/>
        <c:grouping val="clustered"/>
        <c:ser>
          <c:idx val="0"/>
          <c:order val="0"/>
          <c:tx>
            <c:strRef>
              <c:f>'Base de Cálculo'!$A$455</c:f>
              <c:strCache>
                <c:ptCount val="1"/>
                <c:pt idx="0">
                  <c:v>captações superficiais</c:v>
                </c:pt>
              </c:strCache>
            </c:strRef>
          </c:tx>
          <c:spPr>
            <a:solidFill>
              <a:srgbClr val="333399"/>
            </a:solidFill>
            <a:ln w="25400">
              <a:noFill/>
            </a:ln>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'Base de Cálculo'!$B$454:$E$454</c:f>
              <c:numCache>
                <c:formatCode>General</c:formatCode>
                <c:ptCount val="4"/>
                <c:pt idx="0">
                  <c:v>2007</c:v>
                </c:pt>
                <c:pt idx="1">
                  <c:v>2008</c:v>
                </c:pt>
                <c:pt idx="2">
                  <c:v>2009</c:v>
                </c:pt>
                <c:pt idx="3">
                  <c:v>2010</c:v>
                </c:pt>
              </c:numCache>
            </c:numRef>
          </c:cat>
          <c:val>
            <c:numRef>
              <c:f>'Base de Cálculo'!$B$455:$E$455</c:f>
              <c:numCache>
                <c:formatCode>0.00</c:formatCode>
                <c:ptCount val="4"/>
                <c:pt idx="0">
                  <c:v>4.069</c:v>
                </c:pt>
                <c:pt idx="1">
                  <c:v>4.1499999999999995</c:v>
                </c:pt>
                <c:pt idx="2">
                  <c:v>4.1499999999999995</c:v>
                </c:pt>
                <c:pt idx="3" formatCode="0">
                  <c:v>3.74</c:v>
                </c:pt>
              </c:numCache>
            </c:numRef>
          </c:val>
        </c:ser>
        <c:ser>
          <c:idx val="1"/>
          <c:order val="1"/>
          <c:tx>
            <c:strRef>
              <c:f>'Base de Cálculo'!$A$456</c:f>
              <c:strCache>
                <c:ptCount val="1"/>
                <c:pt idx="0">
                  <c:v>captações subterrâneas</c:v>
                </c:pt>
              </c:strCache>
            </c:strRef>
          </c:tx>
          <c:spPr>
            <a:solidFill>
              <a:srgbClr val="666699"/>
            </a:solidFill>
            <a:ln w="25400">
              <a:noFill/>
            </a:ln>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'Base de Cálculo'!$B$454:$E$454</c:f>
              <c:numCache>
                <c:formatCode>General</c:formatCode>
                <c:ptCount val="4"/>
                <c:pt idx="0">
                  <c:v>2007</c:v>
                </c:pt>
                <c:pt idx="1">
                  <c:v>2008</c:v>
                </c:pt>
                <c:pt idx="2">
                  <c:v>2009</c:v>
                </c:pt>
                <c:pt idx="3">
                  <c:v>2010</c:v>
                </c:pt>
              </c:numCache>
            </c:numRef>
          </c:cat>
          <c:val>
            <c:numRef>
              <c:f>'Base de Cálculo'!$B$456:$E$456</c:f>
              <c:numCache>
                <c:formatCode>0.00</c:formatCode>
                <c:ptCount val="4"/>
                <c:pt idx="0">
                  <c:v>0.72800000000000065</c:v>
                </c:pt>
                <c:pt idx="1">
                  <c:v>0.81</c:v>
                </c:pt>
                <c:pt idx="2">
                  <c:v>0.81</c:v>
                </c:pt>
                <c:pt idx="3" formatCode="0">
                  <c:v>0.97000000000000064</c:v>
                </c:pt>
              </c:numCache>
            </c:numRef>
          </c:val>
        </c:ser>
        <c:axId val="117625216"/>
        <c:axId val="117626752"/>
      </c:barChart>
      <c:catAx>
        <c:axId val="11762521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7626752"/>
        <c:crosses val="autoZero"/>
        <c:auto val="1"/>
        <c:lblAlgn val="ctr"/>
        <c:lblOffset val="100"/>
        <c:tickLblSkip val="1"/>
        <c:tickMarkSkip val="1"/>
      </c:catAx>
      <c:valAx>
        <c:axId val="117626752"/>
        <c:scaling>
          <c:orientation val="minMax"/>
        </c:scaling>
        <c:axPos val="l"/>
        <c:majorGridlines>
          <c:spPr>
            <a:ln w="3175">
              <a:solidFill>
                <a:srgbClr val="969696"/>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m3/s</a:t>
                </a:r>
              </a:p>
            </c:rich>
          </c:tx>
          <c:layout>
            <c:manualLayout>
              <c:xMode val="edge"/>
              <c:yMode val="edge"/>
              <c:x val="3.3742484317119938E-2"/>
              <c:y val="0.3669353095568938"/>
            </c:manualLayout>
          </c:layout>
          <c:spPr>
            <a:noFill/>
            <a:ln w="25400">
              <a:noFill/>
            </a:ln>
          </c:spPr>
        </c:title>
        <c:numFmt formatCode="0.00"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pt-BR"/>
          </a:p>
        </c:txPr>
        <c:crossAx val="117625216"/>
        <c:crosses val="autoZero"/>
        <c:crossBetween val="between"/>
        <c:minorUnit val="5"/>
      </c:valAx>
      <c:spPr>
        <a:solidFill>
          <a:srgbClr val="FFFFFF"/>
        </a:solidFill>
        <a:ln w="25400">
          <a:noFill/>
        </a:ln>
      </c:spPr>
    </c:plotArea>
    <c:legend>
      <c:legendPos val="b"/>
      <c:layout>
        <c:manualLayout>
          <c:xMode val="edge"/>
          <c:yMode val="edge"/>
          <c:x val="9.2024720314216268E-2"/>
          <c:y val="0.88306469044310665"/>
          <c:w val="0.88650322964948525"/>
          <c:h val="8.0644845864855402E-2"/>
        </c:manualLayout>
      </c:layout>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9710200719544621"/>
          <c:y val="0.12440191387559808"/>
          <c:w val="0.72289285672706383"/>
          <c:h val="0.66507177033493003"/>
        </c:manualLayout>
      </c:layout>
      <c:barChart>
        <c:barDir val="col"/>
        <c:grouping val="clustered"/>
        <c:ser>
          <c:idx val="0"/>
          <c:order val="0"/>
          <c:tx>
            <c:strRef>
              <c:f>'Base de Cálculo'!$A$462</c:f>
              <c:strCache>
                <c:ptCount val="1"/>
                <c:pt idx="0">
                  <c:v>R05-D</c:v>
                </c:pt>
              </c:strCache>
            </c:strRef>
          </c:tx>
          <c:spPr>
            <a:solidFill>
              <a:srgbClr val="FFCC00"/>
            </a:solidFill>
            <a:ln w="25400">
              <a:noFill/>
            </a:ln>
          </c:spPr>
          <c:dLbls>
            <c:dLbl>
              <c:idx val="0"/>
              <c:layout>
                <c:manualLayout>
                  <c:x val="-2.1884908007743695E-3"/>
                  <c:y val="0.17039922641248814"/>
                </c:manualLayout>
              </c:layout>
              <c:dLblPos val="outEnd"/>
              <c:showVal val="1"/>
            </c:dLbl>
            <c:dLbl>
              <c:idx val="1"/>
              <c:layout>
                <c:manualLayout>
                  <c:x val="7.2316804820674553E-3"/>
                  <c:y val="0.23794296047922303"/>
                </c:manualLayout>
              </c:layout>
              <c:dLblPos val="outEnd"/>
              <c:showVal val="1"/>
            </c:dLbl>
            <c:dLbl>
              <c:idx val="2"/>
              <c:layout>
                <c:manualLayout>
                  <c:x val="7.9564792866622536E-3"/>
                  <c:y val="0.17630009167514346"/>
                </c:manualLayout>
              </c:layout>
              <c:dLblPos val="outEnd"/>
              <c:showVal val="1"/>
            </c:dLbl>
            <c:dLbl>
              <c:idx val="3"/>
              <c:layout>
                <c:manualLayout>
                  <c:x val="3.8647342995169211E-3"/>
                  <c:y val="0.20414673046251994"/>
                </c:manualLayout>
              </c:layout>
              <c:dLblPos val="outEnd"/>
              <c:showVal val="1"/>
            </c:dLbl>
            <c:spPr>
              <a:noFill/>
              <a:ln w="25400">
                <a:noFill/>
              </a:ln>
            </c:spPr>
            <c:txPr>
              <a:bodyPr/>
              <a:lstStyle/>
              <a:p>
                <a:pPr>
                  <a:defRPr sz="900" b="0" i="0" u="none" strike="noStrike" baseline="0">
                    <a:solidFill>
                      <a:srgbClr val="000000"/>
                    </a:solidFill>
                    <a:latin typeface="Calibri"/>
                    <a:ea typeface="Calibri"/>
                    <a:cs typeface="Calibri"/>
                  </a:defRPr>
                </a:pPr>
                <a:endParaRPr lang="pt-BR"/>
              </a:p>
            </c:txPr>
            <c:showVal val="1"/>
          </c:dLbls>
          <c:cat>
            <c:numRef>
              <c:f>'Base de Cálculo'!$B$461:$E$461</c:f>
              <c:numCache>
                <c:formatCode>General</c:formatCode>
                <c:ptCount val="4"/>
                <c:pt idx="0">
                  <c:v>2007</c:v>
                </c:pt>
                <c:pt idx="1">
                  <c:v>2008</c:v>
                </c:pt>
                <c:pt idx="2">
                  <c:v>2009</c:v>
                </c:pt>
                <c:pt idx="3">
                  <c:v>2010</c:v>
                </c:pt>
              </c:numCache>
            </c:numRef>
          </c:cat>
          <c:val>
            <c:numRef>
              <c:f>'Base de Cálculo'!$B$462:$E$462</c:f>
              <c:numCache>
                <c:formatCode>General</c:formatCode>
                <c:ptCount val="4"/>
                <c:pt idx="0">
                  <c:v>193</c:v>
                </c:pt>
                <c:pt idx="1">
                  <c:v>234</c:v>
                </c:pt>
                <c:pt idx="2">
                  <c:v>259</c:v>
                </c:pt>
                <c:pt idx="3">
                  <c:v>78</c:v>
                </c:pt>
              </c:numCache>
            </c:numRef>
          </c:val>
        </c:ser>
        <c:axId val="117642752"/>
        <c:axId val="117644288"/>
      </c:barChart>
      <c:catAx>
        <c:axId val="117642752"/>
        <c:scaling>
          <c:orientation val="minMax"/>
        </c:scaling>
        <c:axPos val="b"/>
        <c:numFmt formatCode="General" sourceLinked="1"/>
        <c:tickLblPos val="nextTo"/>
        <c:spPr>
          <a:ln w="3175">
            <a:solidFill>
              <a:srgbClr val="969696"/>
            </a:solidFill>
            <a:prstDash val="solid"/>
          </a:ln>
        </c:spPr>
        <c:txPr>
          <a:bodyPr rot="0" vert="horz"/>
          <a:lstStyle/>
          <a:p>
            <a:pPr>
              <a:defRPr sz="900" b="0" i="0" u="none" strike="noStrike" baseline="0">
                <a:solidFill>
                  <a:srgbClr val="000000"/>
                </a:solidFill>
                <a:latin typeface="Calibri"/>
                <a:ea typeface="Calibri"/>
                <a:cs typeface="Calibri"/>
              </a:defRPr>
            </a:pPr>
            <a:endParaRPr lang="pt-BR"/>
          </a:p>
        </c:txPr>
        <c:crossAx val="117644288"/>
        <c:crosses val="autoZero"/>
        <c:auto val="1"/>
        <c:lblAlgn val="ctr"/>
        <c:lblOffset val="100"/>
        <c:tickLblSkip val="1"/>
        <c:tickMarkSkip val="1"/>
      </c:catAx>
      <c:valAx>
        <c:axId val="117644288"/>
        <c:scaling>
          <c:orientation val="minMax"/>
        </c:scaling>
        <c:axPos val="l"/>
        <c:majorGridlines>
          <c:spPr>
            <a:ln w="3175">
              <a:solidFill>
                <a:srgbClr val="969696"/>
              </a:solidFill>
              <a:prstDash val="solid"/>
            </a:ln>
          </c:spPr>
        </c:majorGridlines>
        <c:title>
          <c:tx>
            <c:rich>
              <a:bodyPr/>
              <a:lstStyle/>
              <a:p>
                <a:pPr>
                  <a:defRPr sz="875" b="1" i="0" u="none" strike="noStrike" baseline="0">
                    <a:solidFill>
                      <a:srgbClr val="000000"/>
                    </a:solidFill>
                    <a:latin typeface="Arial"/>
                    <a:ea typeface="Arial"/>
                    <a:cs typeface="Arial"/>
                  </a:defRPr>
                </a:pPr>
                <a:r>
                  <a:rPr lang="pt-BR"/>
                  <a:t>n° </a:t>
                </a:r>
              </a:p>
            </c:rich>
          </c:tx>
          <c:layout>
            <c:manualLayout>
              <c:xMode val="edge"/>
              <c:yMode val="edge"/>
              <c:x val="7.2856848246192736E-3"/>
              <c:y val="0.41148279072767119"/>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pt-BR"/>
          </a:p>
        </c:txPr>
        <c:crossAx val="117642752"/>
        <c:crosses val="autoZero"/>
        <c:crossBetween val="between"/>
      </c:valAx>
      <c:spPr>
        <a:noFill/>
        <a:ln w="25400">
          <a:noFill/>
        </a:ln>
      </c:spPr>
    </c:plotArea>
    <c:plotVisOnly val="1"/>
    <c:dispBlanksAs val="gap"/>
  </c:chart>
  <c:spPr>
    <a:solidFill>
      <a:srgbClr val="FFFFFF"/>
    </a:solidFill>
    <a:ln w="9525">
      <a:noFill/>
    </a:ln>
  </c:spPr>
  <c:txPr>
    <a:bodyPr/>
    <a:lstStyle/>
    <a:p>
      <a:pPr>
        <a:defRPr sz="900" b="0" i="0" u="none" strike="noStrike" baseline="0">
          <a:solidFill>
            <a:srgbClr val="000000"/>
          </a:solidFill>
          <a:latin typeface="Calibri"/>
          <a:ea typeface="Calibri"/>
          <a:cs typeface="Calibri"/>
        </a:defRPr>
      </a:pPr>
      <a:endParaRPr lang="pt-B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8122095301467597"/>
          <c:y val="0.11403557615292692"/>
          <c:w val="0.77934390595541769"/>
          <c:h val="0.68421345691756152"/>
        </c:manualLayout>
      </c:layout>
      <c:barChart>
        <c:barDir val="col"/>
        <c:grouping val="clustered"/>
        <c:ser>
          <c:idx val="1"/>
          <c:order val="0"/>
          <c:spPr>
            <a:solidFill>
              <a:srgbClr val="FF8080"/>
            </a:solidFill>
            <a:ln w="25400">
              <a:noFill/>
            </a:ln>
          </c:spPr>
          <c:dLbls>
            <c:spPr>
              <a:noFill/>
              <a:ln w="25400">
                <a:noFill/>
              </a:ln>
            </c:spPr>
            <c:txPr>
              <a:bodyPr/>
              <a:lstStyle/>
              <a:p>
                <a:pPr>
                  <a:defRPr sz="925" b="0" i="0" u="none" strike="noStrike" baseline="0">
                    <a:solidFill>
                      <a:srgbClr val="000000"/>
                    </a:solidFill>
                    <a:latin typeface="Calibri"/>
                    <a:ea typeface="Calibri"/>
                    <a:cs typeface="Calibri"/>
                  </a:defRPr>
                </a:pPr>
                <a:endParaRPr lang="pt-BR"/>
              </a:p>
            </c:txPr>
            <c:showVal val="1"/>
          </c:dLbls>
          <c:cat>
            <c:numRef>
              <c:f>'Base de Cálculo'!$B$473:$E$473</c:f>
              <c:numCache>
                <c:formatCode>General</c:formatCode>
                <c:ptCount val="4"/>
                <c:pt idx="0">
                  <c:v>2006</c:v>
                </c:pt>
                <c:pt idx="1">
                  <c:v>2007</c:v>
                </c:pt>
                <c:pt idx="2">
                  <c:v>2008</c:v>
                </c:pt>
                <c:pt idx="3">
                  <c:v>2009</c:v>
                </c:pt>
              </c:numCache>
            </c:numRef>
          </c:cat>
          <c:val>
            <c:numRef>
              <c:f>'Base de Cálculo'!$B$474:$E$474</c:f>
              <c:numCache>
                <c:formatCode>General</c:formatCode>
                <c:ptCount val="4"/>
                <c:pt idx="0">
                  <c:v>35.949999999999996</c:v>
                </c:pt>
                <c:pt idx="1">
                  <c:v>35.849999999999994</c:v>
                </c:pt>
                <c:pt idx="2" formatCode="0.00">
                  <c:v>38.86</c:v>
                </c:pt>
                <c:pt idx="3" formatCode="0.00">
                  <c:v>39.75</c:v>
                </c:pt>
              </c:numCache>
            </c:numRef>
          </c:val>
        </c:ser>
        <c:axId val="117795456"/>
        <c:axId val="117805440"/>
      </c:barChart>
      <c:catAx>
        <c:axId val="117795456"/>
        <c:scaling>
          <c:orientation val="minMax"/>
        </c:scaling>
        <c:axPos val="b"/>
        <c:numFmt formatCode="General" sourceLinked="1"/>
        <c:tickLblPos val="nextTo"/>
        <c:spPr>
          <a:ln w="3175">
            <a:solidFill>
              <a:srgbClr val="969696"/>
            </a:solidFill>
            <a:prstDash val="solid"/>
          </a:ln>
        </c:spPr>
        <c:txPr>
          <a:bodyPr rot="0" vert="horz"/>
          <a:lstStyle/>
          <a:p>
            <a:pPr>
              <a:defRPr sz="1025" b="0" i="0" u="none" strike="noStrike" baseline="0">
                <a:solidFill>
                  <a:srgbClr val="000000"/>
                </a:solidFill>
                <a:latin typeface="Arial"/>
                <a:ea typeface="Arial"/>
                <a:cs typeface="Arial"/>
              </a:defRPr>
            </a:pPr>
            <a:endParaRPr lang="pt-BR"/>
          </a:p>
        </c:txPr>
        <c:crossAx val="117805440"/>
        <c:crosses val="autoZero"/>
        <c:auto val="1"/>
        <c:lblAlgn val="ctr"/>
        <c:lblOffset val="100"/>
        <c:tickLblSkip val="1"/>
        <c:tickMarkSkip val="1"/>
      </c:catAx>
      <c:valAx>
        <c:axId val="117805440"/>
        <c:scaling>
          <c:orientation val="minMax"/>
        </c:scaling>
        <c:axPos val="l"/>
        <c:majorGridlines>
          <c:spPr>
            <a:ln w="3175">
              <a:solidFill>
                <a:srgbClr val="969696"/>
              </a:solidFill>
              <a:prstDash val="solid"/>
            </a:ln>
          </c:spPr>
        </c:majorGridlines>
        <c:title>
          <c:tx>
            <c:rich>
              <a:bodyPr rot="0" vert="horz"/>
              <a:lstStyle/>
              <a:p>
                <a:pPr algn="ctr">
                  <a:defRPr sz="950" b="1" i="0" u="none" strike="noStrike" baseline="0">
                    <a:solidFill>
                      <a:srgbClr val="000000"/>
                    </a:solidFill>
                    <a:latin typeface="Arial"/>
                    <a:ea typeface="Arial"/>
                    <a:cs typeface="Arial"/>
                  </a:defRPr>
                </a:pPr>
                <a:r>
                  <a:rPr lang="pt-BR"/>
                  <a:t>%</a:t>
                </a:r>
              </a:p>
            </c:rich>
          </c:tx>
          <c:layout>
            <c:manualLayout>
              <c:xMode val="edge"/>
              <c:yMode val="edge"/>
              <c:x val="1.4084480447138384E-2"/>
              <c:y val="0.42105449254076432"/>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pt-BR"/>
          </a:p>
        </c:txPr>
        <c:crossAx val="117795456"/>
        <c:crosses val="autoZero"/>
        <c:crossBetween val="between"/>
      </c:valAx>
      <c:spPr>
        <a:noFill/>
        <a:ln w="25400">
          <a:noFill/>
        </a:ln>
      </c:spPr>
    </c:plotArea>
    <c:plotVisOnly val="1"/>
    <c:dispBlanksAs val="gap"/>
  </c:chart>
  <c:spPr>
    <a:solidFill>
      <a:srgbClr val="FFFFFF"/>
    </a:solidFill>
    <a:ln w="9525">
      <a:noFill/>
    </a:ln>
  </c:spPr>
  <c:txPr>
    <a:bodyPr/>
    <a:lstStyle/>
    <a:p>
      <a:pPr>
        <a:defRPr sz="925" b="0" i="0" u="none" strike="noStrike" baseline="0">
          <a:solidFill>
            <a:srgbClr val="000000"/>
          </a:solidFill>
          <a:latin typeface="Calibri"/>
          <a:ea typeface="Calibri"/>
          <a:cs typeface="Calibri"/>
        </a:defRPr>
      </a:pPr>
      <a:endParaRPr lang="pt-B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t-BR"/>
  <c:chart>
    <c:plotArea>
      <c:layout/>
      <c:pieChart>
        <c:varyColors val="1"/>
        <c:ser>
          <c:idx val="0"/>
          <c:order val="0"/>
          <c:dLbls>
            <c:dLbl>
              <c:idx val="0"/>
              <c:showVal val="1"/>
            </c:dLbl>
            <c:dLbl>
              <c:idx val="1"/>
              <c:delete val="1"/>
            </c:dLbl>
            <c:dLbl>
              <c:idx val="2"/>
              <c:showVal val="1"/>
            </c:dLbl>
            <c:dLbl>
              <c:idx val="3"/>
              <c:showVal val="1"/>
            </c:dLbl>
            <c:dLbl>
              <c:idx val="4"/>
              <c:layout>
                <c:manualLayout>
                  <c:x val="0.12439107611548562"/>
                  <c:y val="0.15248869932925074"/>
                </c:manualLayout>
              </c:layout>
              <c:showVal val="1"/>
            </c:dLbl>
            <c:showPercent val="1"/>
            <c:showLeaderLines val="1"/>
          </c:dLbls>
          <c:cat>
            <c:strRef>
              <c:f>'Base de Cálculo'!$A$50:$A$54</c:f>
              <c:strCache>
                <c:ptCount val="5"/>
                <c:pt idx="0">
                  <c:v>Grupo 1</c:v>
                </c:pt>
                <c:pt idx="1">
                  <c:v>Grupo 2</c:v>
                </c:pt>
                <c:pt idx="2">
                  <c:v>Grupo 3</c:v>
                </c:pt>
                <c:pt idx="3">
                  <c:v>Grupo 4</c:v>
                </c:pt>
                <c:pt idx="4">
                  <c:v>Grupo 5</c:v>
                </c:pt>
              </c:strCache>
            </c:strRef>
          </c:cat>
          <c:val>
            <c:numRef>
              <c:f>'Base de Cálculo'!$D$50:$D$54</c:f>
              <c:numCache>
                <c:formatCode>General</c:formatCode>
                <c:ptCount val="5"/>
                <c:pt idx="0">
                  <c:v>1</c:v>
                </c:pt>
                <c:pt idx="1">
                  <c:v>0</c:v>
                </c:pt>
                <c:pt idx="2">
                  <c:v>4</c:v>
                </c:pt>
                <c:pt idx="3">
                  <c:v>10</c:v>
                </c:pt>
                <c:pt idx="4">
                  <c:v>7</c:v>
                </c:pt>
              </c:numCache>
            </c:numRef>
          </c:val>
        </c:ser>
        <c:dLbls>
          <c:showPercent val="1"/>
        </c:dLbls>
        <c:firstSliceAng val="0"/>
      </c:pieChart>
    </c:plotArea>
    <c:legend>
      <c:legendPos val="r"/>
      <c:txPr>
        <a:bodyPr/>
        <a:lstStyle/>
        <a:p>
          <a:pPr rtl="0">
            <a:defRPr/>
          </a:pPr>
          <a:endParaRPr lang="pt-BR"/>
        </a:p>
      </c:txP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bar3DChart>
        <c:barDir val="col"/>
        <c:grouping val="stacked"/>
        <c:ser>
          <c:idx val="0"/>
          <c:order val="0"/>
          <c:tx>
            <c:strRef>
              <c:f>'IQA Gráficos'!$K$59</c:f>
              <c:strCache>
                <c:ptCount val="1"/>
                <c:pt idx="0">
                  <c:v>Ótimo</c:v>
                </c:pt>
              </c:strCache>
            </c:strRef>
          </c:tx>
          <c:spPr>
            <a:solidFill>
              <a:srgbClr val="0070C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('IQA Gráficos'!$L$58;'IQA Gráficos'!$N$58;'IQA Gráficos'!$P$58;'IQA Gráficos'!$R$58)</c:f>
              <c:numCache>
                <c:formatCode>0</c:formatCode>
                <c:ptCount val="4"/>
                <c:pt idx="0">
                  <c:v>2007</c:v>
                </c:pt>
                <c:pt idx="1">
                  <c:v>2008</c:v>
                </c:pt>
                <c:pt idx="2">
                  <c:v>2009</c:v>
                </c:pt>
                <c:pt idx="3">
                  <c:v>2010</c:v>
                </c:pt>
              </c:numCache>
            </c:numRef>
          </c:cat>
          <c:val>
            <c:numRef>
              <c:f>('IQA Gráficos'!$L$59;'IQA Gráficos'!$N$59;'IQA Gráficos'!$P$59;'IQA Gráficos'!$R$59)</c:f>
              <c:numCache>
                <c:formatCode>0</c:formatCode>
                <c:ptCount val="4"/>
                <c:pt idx="1">
                  <c:v>1</c:v>
                </c:pt>
                <c:pt idx="2">
                  <c:v>1</c:v>
                </c:pt>
                <c:pt idx="3">
                  <c:v>1</c:v>
                </c:pt>
              </c:numCache>
            </c:numRef>
          </c:val>
        </c:ser>
        <c:ser>
          <c:idx val="1"/>
          <c:order val="1"/>
          <c:tx>
            <c:strRef>
              <c:f>'IQA Gráficos'!$K$60</c:f>
              <c:strCache>
                <c:ptCount val="1"/>
                <c:pt idx="0">
                  <c:v>Bom</c:v>
                </c:pt>
              </c:strCache>
            </c:strRef>
          </c:tx>
          <c:spPr>
            <a:solidFill>
              <a:srgbClr val="00B05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('IQA Gráficos'!$L$58;'IQA Gráficos'!$N$58;'IQA Gráficos'!$P$58;'IQA Gráficos'!$R$58)</c:f>
              <c:numCache>
                <c:formatCode>0</c:formatCode>
                <c:ptCount val="4"/>
                <c:pt idx="0">
                  <c:v>2007</c:v>
                </c:pt>
                <c:pt idx="1">
                  <c:v>2008</c:v>
                </c:pt>
                <c:pt idx="2">
                  <c:v>2009</c:v>
                </c:pt>
                <c:pt idx="3">
                  <c:v>2010</c:v>
                </c:pt>
              </c:numCache>
            </c:numRef>
          </c:cat>
          <c:val>
            <c:numRef>
              <c:f>('IQA Gráficos'!$L$60;'IQA Gráficos'!$N$60;'IQA Gráficos'!$P$60;'IQA Gráficos'!$R$60)</c:f>
              <c:numCache>
                <c:formatCode>0</c:formatCode>
                <c:ptCount val="4"/>
                <c:pt idx="0">
                  <c:v>6</c:v>
                </c:pt>
                <c:pt idx="1">
                  <c:v>8</c:v>
                </c:pt>
                <c:pt idx="2">
                  <c:v>10</c:v>
                </c:pt>
                <c:pt idx="3">
                  <c:v>9</c:v>
                </c:pt>
              </c:numCache>
            </c:numRef>
          </c:val>
        </c:ser>
        <c:ser>
          <c:idx val="2"/>
          <c:order val="2"/>
          <c:tx>
            <c:strRef>
              <c:f>'IQA Gráficos'!$K$61</c:f>
              <c:strCache>
                <c:ptCount val="1"/>
                <c:pt idx="0">
                  <c:v>Regular</c:v>
                </c:pt>
              </c:strCache>
            </c:strRef>
          </c:tx>
          <c:spPr>
            <a:solidFill>
              <a:srgbClr val="FFFF0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('IQA Gráficos'!$L$58;'IQA Gráficos'!$N$58;'IQA Gráficos'!$P$58;'IQA Gráficos'!$R$58)</c:f>
              <c:numCache>
                <c:formatCode>0</c:formatCode>
                <c:ptCount val="4"/>
                <c:pt idx="0">
                  <c:v>2007</c:v>
                </c:pt>
                <c:pt idx="1">
                  <c:v>2008</c:v>
                </c:pt>
                <c:pt idx="2">
                  <c:v>2009</c:v>
                </c:pt>
                <c:pt idx="3">
                  <c:v>2010</c:v>
                </c:pt>
              </c:numCache>
            </c:numRef>
          </c:cat>
          <c:val>
            <c:numRef>
              <c:f>('IQA Gráficos'!$L$61;'IQA Gráficos'!$N$61;'IQA Gráficos'!$P$61;'IQA Gráficos'!$R$61)</c:f>
              <c:numCache>
                <c:formatCode>0</c:formatCode>
                <c:ptCount val="4"/>
                <c:pt idx="0">
                  <c:v>2</c:v>
                </c:pt>
                <c:pt idx="1">
                  <c:v>1</c:v>
                </c:pt>
                <c:pt idx="2">
                  <c:v>2</c:v>
                </c:pt>
                <c:pt idx="3">
                  <c:v>3</c:v>
                </c:pt>
              </c:numCache>
            </c:numRef>
          </c:val>
        </c:ser>
        <c:ser>
          <c:idx val="3"/>
          <c:order val="3"/>
          <c:tx>
            <c:strRef>
              <c:f>'IQA Gráficos'!$K$62</c:f>
              <c:strCache>
                <c:ptCount val="1"/>
                <c:pt idx="0">
                  <c:v>Ruim</c:v>
                </c:pt>
              </c:strCache>
            </c:strRef>
          </c:tx>
          <c:spPr>
            <a:solidFill>
              <a:srgbClr val="FF0000"/>
            </a:solidFill>
          </c:spPr>
          <c:cat>
            <c:numRef>
              <c:f>('IQA Gráficos'!$L$58;'IQA Gráficos'!$N$58;'IQA Gráficos'!$P$58;'IQA Gráficos'!$R$58)</c:f>
              <c:numCache>
                <c:formatCode>0</c:formatCode>
                <c:ptCount val="4"/>
                <c:pt idx="0">
                  <c:v>2007</c:v>
                </c:pt>
                <c:pt idx="1">
                  <c:v>2008</c:v>
                </c:pt>
                <c:pt idx="2">
                  <c:v>2009</c:v>
                </c:pt>
                <c:pt idx="3">
                  <c:v>2010</c:v>
                </c:pt>
              </c:numCache>
            </c:numRef>
          </c:cat>
          <c:val>
            <c:numRef>
              <c:f>('IQA Gráficos'!$L$62;'IQA Gráficos'!$N$62;'IQA Gráficos'!$P$62;'IQA Gráficos'!$R$62)</c:f>
              <c:numCache>
                <c:formatCode>General</c:formatCode>
                <c:ptCount val="4"/>
                <c:pt idx="3" formatCode="0">
                  <c:v>0</c:v>
                </c:pt>
              </c:numCache>
            </c:numRef>
          </c:val>
        </c:ser>
        <c:ser>
          <c:idx val="4"/>
          <c:order val="4"/>
          <c:tx>
            <c:strRef>
              <c:f>'IQA Gráficos'!$K$63</c:f>
              <c:strCache>
                <c:ptCount val="1"/>
                <c:pt idx="0">
                  <c:v>Péssimo</c:v>
                </c:pt>
              </c:strCache>
            </c:strRef>
          </c:tx>
          <c:spPr>
            <a:solidFill>
              <a:srgbClr val="7030A0"/>
            </a:solidFill>
          </c:spPr>
          <c:dLbls>
            <c:dLbl>
              <c:idx val="3"/>
              <c:delete val="1"/>
            </c:dLbl>
            <c:spPr>
              <a:noFill/>
              <a:ln w="25400">
                <a:noFill/>
              </a:ln>
            </c:spPr>
            <c:txPr>
              <a:bodyPr/>
              <a:lstStyle/>
              <a:p>
                <a:pPr>
                  <a:defRPr sz="1000" b="1" i="0" u="none" strike="noStrike" baseline="0">
                    <a:solidFill>
                      <a:srgbClr val="FFFFFF"/>
                    </a:solidFill>
                    <a:latin typeface="Calibri"/>
                    <a:ea typeface="Calibri"/>
                    <a:cs typeface="Calibri"/>
                  </a:defRPr>
                </a:pPr>
                <a:endParaRPr lang="pt-BR"/>
              </a:p>
            </c:txPr>
            <c:showVal val="1"/>
          </c:dLbls>
          <c:cat>
            <c:numRef>
              <c:f>('IQA Gráficos'!$L$58;'IQA Gráficos'!$N$58;'IQA Gráficos'!$P$58;'IQA Gráficos'!$R$58)</c:f>
              <c:numCache>
                <c:formatCode>0</c:formatCode>
                <c:ptCount val="4"/>
                <c:pt idx="0">
                  <c:v>2007</c:v>
                </c:pt>
                <c:pt idx="1">
                  <c:v>2008</c:v>
                </c:pt>
                <c:pt idx="2">
                  <c:v>2009</c:v>
                </c:pt>
                <c:pt idx="3">
                  <c:v>2010</c:v>
                </c:pt>
              </c:numCache>
            </c:numRef>
          </c:cat>
          <c:val>
            <c:numRef>
              <c:f>('IQA Gráficos'!$L$63;'IQA Gráficos'!$N$63;'IQA Gráficos'!$P$63;'IQA Gráficos'!$R$63)</c:f>
              <c:numCache>
                <c:formatCode>0</c:formatCode>
                <c:ptCount val="4"/>
                <c:pt idx="1">
                  <c:v>1</c:v>
                </c:pt>
                <c:pt idx="3">
                  <c:v>0</c:v>
                </c:pt>
              </c:numCache>
            </c:numRef>
          </c:val>
        </c:ser>
        <c:shape val="box"/>
        <c:axId val="118573696"/>
        <c:axId val="118595968"/>
        <c:axId val="0"/>
      </c:bar3DChart>
      <c:catAx>
        <c:axId val="118573696"/>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595968"/>
        <c:crosses val="autoZero"/>
        <c:auto val="1"/>
        <c:lblAlgn val="ctr"/>
        <c:lblOffset val="100"/>
      </c:catAx>
      <c:valAx>
        <c:axId val="118595968"/>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573696"/>
        <c:crosses val="autoZero"/>
        <c:crossBetween val="between"/>
      </c:valAx>
      <c:spPr>
        <a:noFill/>
        <a:ln w="25400">
          <a:noFill/>
        </a:ln>
      </c:spPr>
    </c:plotArea>
    <c:legend>
      <c:legendPos val="r"/>
      <c:layout>
        <c:manualLayout>
          <c:xMode val="edge"/>
          <c:yMode val="edge"/>
          <c:x val="0.75737704918032789"/>
          <c:y val="0.22535287255759698"/>
          <c:w val="0.21967213114754133"/>
          <c:h val="0.5633829104695246"/>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manualLayout>
          <c:layoutTarget val="inner"/>
          <c:xMode val="edge"/>
          <c:yMode val="edge"/>
          <c:x val="0.15264843947271642"/>
          <c:y val="7.1428749374076686E-2"/>
          <c:w val="0.57009519231646988"/>
          <c:h val="0.71938954726748661"/>
        </c:manualLayout>
      </c:layout>
      <c:bar3DChart>
        <c:barDir val="col"/>
        <c:grouping val="stacked"/>
        <c:ser>
          <c:idx val="0"/>
          <c:order val="0"/>
          <c:tx>
            <c:strRef>
              <c:f>'IVA Gráficos'!$K$59</c:f>
              <c:strCache>
                <c:ptCount val="1"/>
                <c:pt idx="0">
                  <c:v>Ótimo</c:v>
                </c:pt>
              </c:strCache>
            </c:strRef>
          </c:tx>
          <c:spPr>
            <a:solidFill>
              <a:srgbClr val="0070C0"/>
            </a:solidFill>
          </c:spPr>
          <c:dLbls>
            <c:dLbl>
              <c:idx val="0"/>
              <c:delete val="1"/>
            </c:dLbl>
            <c:dLbl>
              <c:idx val="1"/>
              <c:delete val="1"/>
            </c:dLbl>
            <c:dLbl>
              <c:idx val="2"/>
              <c:delete val="1"/>
            </c:dLbl>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('IVA Gráficos'!$L$58;'IVA Gráficos'!$N$58;'IVA Gráficos'!$P$58;'IVA Gráficos'!$R$58)</c:f>
              <c:numCache>
                <c:formatCode>0</c:formatCode>
                <c:ptCount val="4"/>
                <c:pt idx="0">
                  <c:v>2007</c:v>
                </c:pt>
                <c:pt idx="1">
                  <c:v>2008</c:v>
                </c:pt>
                <c:pt idx="2">
                  <c:v>2009</c:v>
                </c:pt>
                <c:pt idx="3">
                  <c:v>2010</c:v>
                </c:pt>
              </c:numCache>
            </c:numRef>
          </c:cat>
          <c:val>
            <c:numRef>
              <c:f>('IVA Gráficos'!$L$59;'IVA Gráficos'!$N$59;'IVA Gráficos'!$P$59;'IVA Gráficos'!$R$59)</c:f>
              <c:numCache>
                <c:formatCode>0</c:formatCode>
                <c:ptCount val="4"/>
                <c:pt idx="0">
                  <c:v>0</c:v>
                </c:pt>
                <c:pt idx="1">
                  <c:v>0</c:v>
                </c:pt>
                <c:pt idx="2">
                  <c:v>0</c:v>
                </c:pt>
                <c:pt idx="3">
                  <c:v>1</c:v>
                </c:pt>
              </c:numCache>
            </c:numRef>
          </c:val>
        </c:ser>
        <c:ser>
          <c:idx val="1"/>
          <c:order val="1"/>
          <c:tx>
            <c:strRef>
              <c:f>'IVA Gráficos'!$K$60</c:f>
              <c:strCache>
                <c:ptCount val="1"/>
                <c:pt idx="0">
                  <c:v>Bom</c:v>
                </c:pt>
              </c:strCache>
            </c:strRef>
          </c:tx>
          <c:spPr>
            <a:solidFill>
              <a:srgbClr val="00B050"/>
            </a:solidFill>
          </c:spPr>
          <c:dLbls>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('IVA Gráficos'!$L$58;'IVA Gráficos'!$N$58;'IVA Gráficos'!$P$58;'IVA Gráficos'!$R$58)</c:f>
              <c:numCache>
                <c:formatCode>0</c:formatCode>
                <c:ptCount val="4"/>
                <c:pt idx="0">
                  <c:v>2007</c:v>
                </c:pt>
                <c:pt idx="1">
                  <c:v>2008</c:v>
                </c:pt>
                <c:pt idx="2">
                  <c:v>2009</c:v>
                </c:pt>
                <c:pt idx="3">
                  <c:v>2010</c:v>
                </c:pt>
              </c:numCache>
            </c:numRef>
          </c:cat>
          <c:val>
            <c:numRef>
              <c:f>('IVA Gráficos'!$L$60;'IVA Gráficos'!$N$60;'IVA Gráficos'!$P$60;'IVA Gráficos'!$R$60)</c:f>
              <c:numCache>
                <c:formatCode>0</c:formatCode>
                <c:ptCount val="4"/>
                <c:pt idx="0">
                  <c:v>3</c:v>
                </c:pt>
                <c:pt idx="1">
                  <c:v>2</c:v>
                </c:pt>
                <c:pt idx="2">
                  <c:v>1</c:v>
                </c:pt>
                <c:pt idx="3">
                  <c:v>1</c:v>
                </c:pt>
              </c:numCache>
            </c:numRef>
          </c:val>
        </c:ser>
        <c:ser>
          <c:idx val="2"/>
          <c:order val="2"/>
          <c:tx>
            <c:strRef>
              <c:f>'IVA Gráficos'!$K$61</c:f>
              <c:strCache>
                <c:ptCount val="1"/>
                <c:pt idx="0">
                  <c:v>Regular</c:v>
                </c:pt>
              </c:strCache>
            </c:strRef>
          </c:tx>
          <c:spPr>
            <a:solidFill>
              <a:srgbClr val="FFFF00"/>
            </a:solidFill>
          </c:spPr>
          <c:dLbls>
            <c:dLbl>
              <c:idx val="0"/>
              <c:delete val="1"/>
            </c:dLbl>
            <c:spPr>
              <a:noFill/>
              <a:ln w="25400">
                <a:noFill/>
              </a:ln>
            </c:spPr>
            <c:txPr>
              <a:bodyPr/>
              <a:lstStyle/>
              <a:p>
                <a:pPr>
                  <a:defRPr sz="1000" b="1" i="0" u="none" strike="noStrike" baseline="0">
                    <a:solidFill>
                      <a:srgbClr val="000000"/>
                    </a:solidFill>
                    <a:latin typeface="Calibri"/>
                    <a:ea typeface="Calibri"/>
                    <a:cs typeface="Calibri"/>
                  </a:defRPr>
                </a:pPr>
                <a:endParaRPr lang="pt-BR"/>
              </a:p>
            </c:txPr>
            <c:showVal val="1"/>
          </c:dLbls>
          <c:cat>
            <c:numRef>
              <c:f>('IVA Gráficos'!$L$58;'IVA Gráficos'!$N$58;'IVA Gráficos'!$P$58;'IVA Gráficos'!$R$58)</c:f>
              <c:numCache>
                <c:formatCode>0</c:formatCode>
                <c:ptCount val="4"/>
                <c:pt idx="0">
                  <c:v>2007</c:v>
                </c:pt>
                <c:pt idx="1">
                  <c:v>2008</c:v>
                </c:pt>
                <c:pt idx="2">
                  <c:v>2009</c:v>
                </c:pt>
                <c:pt idx="3">
                  <c:v>2010</c:v>
                </c:pt>
              </c:numCache>
            </c:numRef>
          </c:cat>
          <c:val>
            <c:numRef>
              <c:f>('IVA Gráficos'!$L$61;'IVA Gráficos'!$N$61;'IVA Gráficos'!$P$61;'IVA Gráficos'!$R$61)</c:f>
              <c:numCache>
                <c:formatCode>0</c:formatCode>
                <c:ptCount val="4"/>
                <c:pt idx="0">
                  <c:v>0</c:v>
                </c:pt>
                <c:pt idx="1">
                  <c:v>1</c:v>
                </c:pt>
                <c:pt idx="2">
                  <c:v>1</c:v>
                </c:pt>
                <c:pt idx="3">
                  <c:v>1</c:v>
                </c:pt>
              </c:numCache>
            </c:numRef>
          </c:val>
        </c:ser>
        <c:ser>
          <c:idx val="3"/>
          <c:order val="3"/>
          <c:tx>
            <c:strRef>
              <c:f>'IVA Gráficos'!$K$62</c:f>
              <c:strCache>
                <c:ptCount val="1"/>
                <c:pt idx="0">
                  <c:v>Ruim</c:v>
                </c:pt>
              </c:strCache>
            </c:strRef>
          </c:tx>
          <c:spPr>
            <a:solidFill>
              <a:srgbClr val="FF0000"/>
            </a:solidFill>
            <a:ln w="25400">
              <a:noFill/>
            </a:ln>
            <a:effectLst>
              <a:outerShdw dist="35921" dir="2700000" algn="br">
                <a:srgbClr val="000000"/>
              </a:outerShdw>
            </a:effectLst>
          </c:spPr>
          <c:dLbls>
            <c:dLbl>
              <c:idx val="0"/>
              <c:delete val="1"/>
            </c:dLbl>
            <c:dLbl>
              <c:idx val="1"/>
              <c:delete val="1"/>
            </c:dLbl>
            <c:dLbl>
              <c:idx val="3"/>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('IVA Gráficos'!$L$58;'IVA Gráficos'!$N$58;'IVA Gráficos'!$P$58;'IVA Gráficos'!$R$58)</c:f>
              <c:numCache>
                <c:formatCode>0</c:formatCode>
                <c:ptCount val="4"/>
                <c:pt idx="0">
                  <c:v>2007</c:v>
                </c:pt>
                <c:pt idx="1">
                  <c:v>2008</c:v>
                </c:pt>
                <c:pt idx="2">
                  <c:v>2009</c:v>
                </c:pt>
                <c:pt idx="3">
                  <c:v>2010</c:v>
                </c:pt>
              </c:numCache>
            </c:numRef>
          </c:cat>
          <c:val>
            <c:numRef>
              <c:f>('IVA Gráficos'!$L$62;'IVA Gráficos'!$N$62;'IVA Gráficos'!$P$62;'IVA Gráficos'!$R$62)</c:f>
              <c:numCache>
                <c:formatCode>0</c:formatCode>
                <c:ptCount val="4"/>
                <c:pt idx="0">
                  <c:v>0</c:v>
                </c:pt>
                <c:pt idx="1">
                  <c:v>0</c:v>
                </c:pt>
                <c:pt idx="2">
                  <c:v>1</c:v>
                </c:pt>
                <c:pt idx="3">
                  <c:v>0</c:v>
                </c:pt>
              </c:numCache>
            </c:numRef>
          </c:val>
        </c:ser>
        <c:ser>
          <c:idx val="4"/>
          <c:order val="4"/>
          <c:tx>
            <c:strRef>
              <c:f>'IVA Gráficos'!$K$63</c:f>
              <c:strCache>
                <c:ptCount val="1"/>
                <c:pt idx="0">
                  <c:v>Péssimo</c:v>
                </c:pt>
              </c:strCache>
            </c:strRef>
          </c:tx>
          <c:spPr>
            <a:solidFill>
              <a:srgbClr val="9999FF"/>
            </a:solidFill>
            <a:ln w="25400">
              <a:noFill/>
            </a:ln>
            <a:effectLst>
              <a:outerShdw dist="35921" dir="2700000" algn="br">
                <a:srgbClr val="000000"/>
              </a:outerShdw>
            </a:effectLst>
          </c:spPr>
          <c:cat>
            <c:numRef>
              <c:f>('IVA Gráficos'!$L$58;'IVA Gráficos'!$N$58;'IVA Gráficos'!$P$58;'IVA Gráficos'!$R$58)</c:f>
              <c:numCache>
                <c:formatCode>0</c:formatCode>
                <c:ptCount val="4"/>
                <c:pt idx="0">
                  <c:v>2007</c:v>
                </c:pt>
                <c:pt idx="1">
                  <c:v>2008</c:v>
                </c:pt>
                <c:pt idx="2">
                  <c:v>2009</c:v>
                </c:pt>
                <c:pt idx="3">
                  <c:v>2010</c:v>
                </c:pt>
              </c:numCache>
            </c:numRef>
          </c:cat>
          <c:val>
            <c:numRef>
              <c:f>('IVA Gráficos'!$L$63;'IVA Gráficos'!$N$63;'IVA Gráficos'!$P$63;'IVA Gráficos'!$R$63)</c:f>
              <c:numCache>
                <c:formatCode>0</c:formatCode>
                <c:ptCount val="4"/>
                <c:pt idx="0">
                  <c:v>0</c:v>
                </c:pt>
                <c:pt idx="1">
                  <c:v>0</c:v>
                </c:pt>
                <c:pt idx="2">
                  <c:v>0</c:v>
                </c:pt>
                <c:pt idx="3">
                  <c:v>0</c:v>
                </c:pt>
              </c:numCache>
            </c:numRef>
          </c:val>
        </c:ser>
        <c:shape val="box"/>
        <c:axId val="118776576"/>
        <c:axId val="118778112"/>
        <c:axId val="0"/>
      </c:bar3DChart>
      <c:catAx>
        <c:axId val="118776576"/>
        <c:scaling>
          <c:orientation val="minMax"/>
        </c:scaling>
        <c:axPos val="b"/>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778112"/>
        <c:crosses val="autoZero"/>
        <c:auto val="1"/>
        <c:lblAlgn val="ctr"/>
        <c:lblOffset val="100"/>
      </c:catAx>
      <c:valAx>
        <c:axId val="118778112"/>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776576"/>
        <c:crosses val="autoZero"/>
        <c:crossBetween val="between"/>
      </c:valAx>
      <c:spPr>
        <a:noFill/>
        <a:ln w="25400">
          <a:noFill/>
        </a:ln>
      </c:spPr>
    </c:plotArea>
    <c:legend>
      <c:legendPos val="r"/>
      <c:layout>
        <c:manualLayout>
          <c:xMode val="edge"/>
          <c:yMode val="edge"/>
          <c:x val="0.77287066246057168"/>
          <c:y val="0.13106796116504854"/>
          <c:w val="0.21135646687697227"/>
          <c:h val="0.58252427184465783"/>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t-BR"/>
  <c:chart>
    <c:view3D>
      <c:depthPercent val="100"/>
      <c:rAngAx val="1"/>
    </c:view3D>
    <c:plotArea>
      <c:layout>
        <c:manualLayout>
          <c:layoutTarget val="inner"/>
          <c:xMode val="edge"/>
          <c:yMode val="edge"/>
          <c:x val="0.11843340197460857"/>
          <c:y val="5.098674905035519E-2"/>
          <c:w val="0.47660182322090139"/>
          <c:h val="0.8157929678632464"/>
        </c:manualLayout>
      </c:layout>
      <c:bar3DChart>
        <c:barDir val="col"/>
        <c:grouping val="stacked"/>
        <c:ser>
          <c:idx val="0"/>
          <c:order val="0"/>
          <c:tx>
            <c:strRef>
              <c:f>'[1]IET Gráficos'!$W$67</c:f>
              <c:strCache>
                <c:ptCount val="1"/>
                <c:pt idx="0">
                  <c:v>Ultraoligotrófico</c:v>
                </c:pt>
              </c:strCache>
            </c:strRef>
          </c:tx>
          <c:spPr>
            <a:solidFill>
              <a:srgbClr val="0070C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Gráficos'!$X$67,'[1]IET Gráficos'!$Z$67,'[1]IET Gráficos'!$AB$67,'[1]IET Gráficos'!$AD$67)</c:f>
              <c:numCache>
                <c:formatCode>General</c:formatCode>
                <c:ptCount val="4"/>
                <c:pt idx="1">
                  <c:v>1</c:v>
                </c:pt>
                <c:pt idx="2">
                  <c:v>1</c:v>
                </c:pt>
                <c:pt idx="3">
                  <c:v>1</c:v>
                </c:pt>
              </c:numCache>
            </c:numRef>
          </c:val>
        </c:ser>
        <c:ser>
          <c:idx val="1"/>
          <c:order val="1"/>
          <c:tx>
            <c:strRef>
              <c:f>'[1]IET Gráficos'!$W$68</c:f>
              <c:strCache>
                <c:ptCount val="1"/>
                <c:pt idx="0">
                  <c:v>Oligotrófico</c:v>
                </c:pt>
              </c:strCache>
            </c:strRef>
          </c:tx>
          <c:spPr>
            <a:solidFill>
              <a:srgbClr val="00B05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Gráficos'!$X$68,'[1]IET Gráficos'!$Z$68,'[1]IET Gráficos'!$AB$68,'[1]IET Gráficos'!$AD$68)</c:f>
              <c:numCache>
                <c:formatCode>General</c:formatCode>
                <c:ptCount val="4"/>
                <c:pt idx="3">
                  <c:v>1</c:v>
                </c:pt>
              </c:numCache>
            </c:numRef>
          </c:val>
        </c:ser>
        <c:ser>
          <c:idx val="2"/>
          <c:order val="2"/>
          <c:tx>
            <c:strRef>
              <c:f>'[1]IET Gráficos'!$W$69</c:f>
              <c:strCache>
                <c:ptCount val="1"/>
                <c:pt idx="0">
                  <c:v>Mesotrófico</c:v>
                </c:pt>
              </c:strCache>
            </c:strRef>
          </c:tx>
          <c:spPr>
            <a:solidFill>
              <a:srgbClr val="FFFF0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Gráficos'!$X$69,'[1]IET Gráficos'!$Z$69,'[1]IET Gráficos'!$AB$69,'[1]IET Gráficos'!$AD$69)</c:f>
              <c:numCache>
                <c:formatCode>General</c:formatCode>
                <c:ptCount val="4"/>
                <c:pt idx="0">
                  <c:v>1</c:v>
                </c:pt>
                <c:pt idx="1">
                  <c:v>2</c:v>
                </c:pt>
                <c:pt idx="2">
                  <c:v>8</c:v>
                </c:pt>
                <c:pt idx="3">
                  <c:v>11</c:v>
                </c:pt>
              </c:numCache>
            </c:numRef>
          </c:val>
        </c:ser>
        <c:ser>
          <c:idx val="3"/>
          <c:order val="3"/>
          <c:tx>
            <c:strRef>
              <c:f>'[1]IET Gráficos'!$W$70</c:f>
              <c:strCache>
                <c:ptCount val="1"/>
                <c:pt idx="0">
                  <c:v>Eutrófico</c:v>
                </c:pt>
              </c:strCache>
            </c:strRef>
          </c:tx>
          <c:spPr>
            <a:solidFill>
              <a:schemeClr val="accent6"/>
            </a:solidFill>
          </c:spPr>
          <c:dLbls>
            <c:dLbl>
              <c:idx val="3"/>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Gráficos'!$X$70,'[1]IET Gráficos'!$Z$70,'[1]IET Gráficos'!$AB$70,'[1]IET Gráficos'!$AD$70)</c:f>
              <c:numCache>
                <c:formatCode>General</c:formatCode>
                <c:ptCount val="4"/>
                <c:pt idx="0">
                  <c:v>3</c:v>
                </c:pt>
                <c:pt idx="1">
                  <c:v>5</c:v>
                </c:pt>
                <c:pt idx="2">
                  <c:v>4</c:v>
                </c:pt>
                <c:pt idx="3">
                  <c:v>0</c:v>
                </c:pt>
              </c:numCache>
            </c:numRef>
          </c:val>
        </c:ser>
        <c:ser>
          <c:idx val="4"/>
          <c:order val="4"/>
          <c:tx>
            <c:strRef>
              <c:f>'[1]IET Gráficos'!$W$71</c:f>
              <c:strCache>
                <c:ptCount val="1"/>
                <c:pt idx="0">
                  <c:v>Supereutrófico</c:v>
                </c:pt>
              </c:strCache>
            </c:strRef>
          </c:tx>
          <c:spPr>
            <a:solidFill>
              <a:srgbClr val="FF000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Gráficos'!$X$71,'[1]IET Gráficos'!$Z$71,'[1]IET Gráficos'!$AB$71,'[1]IET Gráficos'!$AD$71)</c:f>
              <c:numCache>
                <c:formatCode>General</c:formatCode>
                <c:ptCount val="4"/>
                <c:pt idx="0">
                  <c:v>3</c:v>
                </c:pt>
                <c:pt idx="1">
                  <c:v>1</c:v>
                </c:pt>
              </c:numCache>
            </c:numRef>
          </c:val>
        </c:ser>
        <c:ser>
          <c:idx val="5"/>
          <c:order val="5"/>
          <c:tx>
            <c:strRef>
              <c:f>'[1]IET Gráficos'!$W$72</c:f>
              <c:strCache>
                <c:ptCount val="1"/>
                <c:pt idx="0">
                  <c:v>Hipereutrófico</c:v>
                </c:pt>
              </c:strCache>
            </c:strRef>
          </c:tx>
          <c:spPr>
            <a:solidFill>
              <a:srgbClr val="7030A0"/>
            </a:solidFill>
          </c:spPr>
          <c:dLbls>
            <c:spPr>
              <a:noFill/>
              <a:ln w="25400">
                <a:noFill/>
              </a:ln>
            </c:spPr>
            <c:txPr>
              <a:bodyPr/>
              <a:lstStyle/>
              <a:p>
                <a:pPr>
                  <a:defRPr sz="1000" b="0" i="0" u="none" strike="noStrike" baseline="0">
                    <a:solidFill>
                      <a:srgbClr val="000000"/>
                    </a:solidFill>
                    <a:latin typeface="Calibri"/>
                    <a:ea typeface="Calibri"/>
                    <a:cs typeface="Calibri"/>
                  </a:defRPr>
                </a:pPr>
                <a:endParaRPr lang="pt-BR"/>
              </a:p>
            </c:txPr>
            <c:showVal val="1"/>
          </c:dLbls>
          <c:cat>
            <c:numRef>
              <c:f>('[1]IET Gráficos'!$X$66,'[1]IET Gráficos'!$Z$66,'[1]IET Gráficos'!$AB$66,'[1]IET Gráficos'!$AD$66)</c:f>
              <c:numCache>
                <c:formatCode>General</c:formatCode>
                <c:ptCount val="4"/>
                <c:pt idx="0">
                  <c:v>2007</c:v>
                </c:pt>
                <c:pt idx="1">
                  <c:v>2008</c:v>
                </c:pt>
                <c:pt idx="2">
                  <c:v>2009</c:v>
                </c:pt>
                <c:pt idx="3">
                  <c:v>2010</c:v>
                </c:pt>
              </c:numCache>
            </c:numRef>
          </c:cat>
          <c:val>
            <c:numRef>
              <c:f>('[1]IET Gráficos'!$X$72,'[1]IET Gráficos'!$Z$72,'[1]IET Gráficos'!$AB$72,'[1]IET Gráficos'!$AD$72)</c:f>
              <c:numCache>
                <c:formatCode>General</c:formatCode>
                <c:ptCount val="4"/>
                <c:pt idx="0">
                  <c:v>3</c:v>
                </c:pt>
                <c:pt idx="1">
                  <c:v>4</c:v>
                </c:pt>
              </c:numCache>
            </c:numRef>
          </c:val>
        </c:ser>
        <c:shape val="box"/>
        <c:axId val="118858112"/>
        <c:axId val="118859648"/>
        <c:axId val="0"/>
      </c:bar3DChart>
      <c:catAx>
        <c:axId val="11885811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859648"/>
        <c:crosses val="autoZero"/>
        <c:auto val="1"/>
        <c:lblAlgn val="ctr"/>
        <c:lblOffset val="100"/>
      </c:catAx>
      <c:valAx>
        <c:axId val="11885964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pt-BR"/>
                  <a:t>Nº de Pontos</a:t>
                </a:r>
              </a:p>
            </c:rich>
          </c:tx>
          <c:spPr>
            <a:noFill/>
            <a:ln w="25400">
              <a:noFill/>
            </a:ln>
          </c:spPr>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BR"/>
          </a:p>
        </c:txPr>
        <c:crossAx val="118858112"/>
        <c:crosses val="autoZero"/>
        <c:crossBetween val="between"/>
        <c:majorUnit val="2"/>
      </c:valAx>
      <c:spPr>
        <a:noFill/>
        <a:ln w="25400">
          <a:noFill/>
        </a:ln>
      </c:spPr>
    </c:plotArea>
    <c:legend>
      <c:legendPos val="r"/>
      <c:layout>
        <c:manualLayout>
          <c:xMode val="edge"/>
          <c:yMode val="edge"/>
          <c:x val="0.60282695170974598"/>
          <c:y val="1.6354811248636579E-3"/>
          <c:w val="0.39298392964037487"/>
          <c:h val="0.88393281238281574"/>
        </c:manualLayout>
      </c:layout>
      <c:txPr>
        <a:bodyPr/>
        <a:lstStyle/>
        <a:p>
          <a:pPr>
            <a:defRPr sz="920" b="0" i="0" u="none" strike="noStrike" baseline="0">
              <a:solidFill>
                <a:srgbClr val="000000"/>
              </a:solidFill>
              <a:latin typeface="Calibri"/>
              <a:ea typeface="Calibri"/>
              <a:cs typeface="Calibri"/>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5665796344647556"/>
          <c:y val="0.10476239193820679"/>
          <c:w val="0.78067885117493474"/>
          <c:h val="0.59047893637898263"/>
        </c:manualLayout>
      </c:layout>
      <c:barChart>
        <c:barDir val="col"/>
        <c:grouping val="stacked"/>
        <c:ser>
          <c:idx val="0"/>
          <c:order val="0"/>
          <c:tx>
            <c:strRef>
              <c:f>'Base de Cálculo'!$A$50</c:f>
              <c:strCache>
                <c:ptCount val="1"/>
                <c:pt idx="0">
                  <c:v>Grupo 1</c:v>
                </c:pt>
              </c:strCache>
            </c:strRef>
          </c:tx>
          <c:spPr>
            <a:solidFill>
              <a:srgbClr val="82A5D0"/>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Cálculo'!$B$49:$D$49</c:f>
              <c:numCache>
                <c:formatCode>General</c:formatCode>
                <c:ptCount val="3"/>
                <c:pt idx="0">
                  <c:v>2004</c:v>
                </c:pt>
                <c:pt idx="1">
                  <c:v>2006</c:v>
                </c:pt>
                <c:pt idx="2">
                  <c:v>2008</c:v>
                </c:pt>
              </c:numCache>
            </c:numRef>
          </c:cat>
          <c:val>
            <c:numRef>
              <c:f>'Base de Cálculo'!$B$50:$D$50</c:f>
              <c:numCache>
                <c:formatCode>General</c:formatCode>
                <c:ptCount val="3"/>
                <c:pt idx="0">
                  <c:v>2</c:v>
                </c:pt>
                <c:pt idx="2">
                  <c:v>1</c:v>
                </c:pt>
              </c:numCache>
            </c:numRef>
          </c:val>
        </c:ser>
        <c:ser>
          <c:idx val="1"/>
          <c:order val="1"/>
          <c:tx>
            <c:strRef>
              <c:f>'Base de Cálculo'!$A$51</c:f>
              <c:strCache>
                <c:ptCount val="1"/>
                <c:pt idx="0">
                  <c:v>Grupo 2</c:v>
                </c:pt>
              </c:strCache>
            </c:strRef>
          </c:tx>
          <c:spPr>
            <a:solidFill>
              <a:srgbClr val="B0CA7C"/>
            </a:solidFill>
          </c:spPr>
          <c:dLbls>
            <c:dLbl>
              <c:idx val="2"/>
              <c:delete val="1"/>
            </c:dLbl>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Cálculo'!$B$49:$D$49</c:f>
              <c:numCache>
                <c:formatCode>General</c:formatCode>
                <c:ptCount val="3"/>
                <c:pt idx="0">
                  <c:v>2004</c:v>
                </c:pt>
                <c:pt idx="1">
                  <c:v>2006</c:v>
                </c:pt>
                <c:pt idx="2">
                  <c:v>2008</c:v>
                </c:pt>
              </c:numCache>
            </c:numRef>
          </c:cat>
          <c:val>
            <c:numRef>
              <c:f>'Base de Cálculo'!$B$51:$D$51</c:f>
              <c:numCache>
                <c:formatCode>General</c:formatCode>
                <c:ptCount val="3"/>
                <c:pt idx="1">
                  <c:v>1</c:v>
                </c:pt>
                <c:pt idx="2">
                  <c:v>0</c:v>
                </c:pt>
              </c:numCache>
            </c:numRef>
          </c:val>
        </c:ser>
        <c:ser>
          <c:idx val="2"/>
          <c:order val="2"/>
          <c:tx>
            <c:strRef>
              <c:f>'Base de Cálculo'!$A$52</c:f>
              <c:strCache>
                <c:ptCount val="1"/>
                <c:pt idx="0">
                  <c:v>Grupo 3</c:v>
                </c:pt>
              </c:strCache>
            </c:strRef>
          </c:tx>
          <c:spPr>
            <a:solidFill>
              <a:srgbClr val="FFFE9C"/>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Cálculo'!$B$49:$D$49</c:f>
              <c:numCache>
                <c:formatCode>General</c:formatCode>
                <c:ptCount val="3"/>
                <c:pt idx="0">
                  <c:v>2004</c:v>
                </c:pt>
                <c:pt idx="1">
                  <c:v>2006</c:v>
                </c:pt>
                <c:pt idx="2">
                  <c:v>2008</c:v>
                </c:pt>
              </c:numCache>
            </c:numRef>
          </c:cat>
          <c:val>
            <c:numRef>
              <c:f>'Base de Cálculo'!$B$52:$D$52</c:f>
              <c:numCache>
                <c:formatCode>General</c:formatCode>
                <c:ptCount val="3"/>
                <c:pt idx="0">
                  <c:v>1</c:v>
                </c:pt>
                <c:pt idx="1">
                  <c:v>4</c:v>
                </c:pt>
                <c:pt idx="2">
                  <c:v>4</c:v>
                </c:pt>
              </c:numCache>
            </c:numRef>
          </c:val>
        </c:ser>
        <c:ser>
          <c:idx val="3"/>
          <c:order val="3"/>
          <c:tx>
            <c:strRef>
              <c:f>'Base de Cálculo'!$A$53</c:f>
              <c:strCache>
                <c:ptCount val="1"/>
                <c:pt idx="0">
                  <c:v>Grupo 4</c:v>
                </c:pt>
              </c:strCache>
            </c:strRef>
          </c:tx>
          <c:spPr>
            <a:solidFill>
              <a:srgbClr val="F9B073"/>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Cálculo'!$B$49:$D$49</c:f>
              <c:numCache>
                <c:formatCode>General</c:formatCode>
                <c:ptCount val="3"/>
                <c:pt idx="0">
                  <c:v>2004</c:v>
                </c:pt>
                <c:pt idx="1">
                  <c:v>2006</c:v>
                </c:pt>
                <c:pt idx="2">
                  <c:v>2008</c:v>
                </c:pt>
              </c:numCache>
            </c:numRef>
          </c:cat>
          <c:val>
            <c:numRef>
              <c:f>'Base de Cálculo'!$B$53:$D$53</c:f>
              <c:numCache>
                <c:formatCode>General</c:formatCode>
                <c:ptCount val="3"/>
                <c:pt idx="0">
                  <c:v>6</c:v>
                </c:pt>
                <c:pt idx="1">
                  <c:v>8</c:v>
                </c:pt>
                <c:pt idx="2">
                  <c:v>10</c:v>
                </c:pt>
              </c:numCache>
            </c:numRef>
          </c:val>
        </c:ser>
        <c:ser>
          <c:idx val="4"/>
          <c:order val="4"/>
          <c:tx>
            <c:strRef>
              <c:f>'Base de Cálculo'!$A$54</c:f>
              <c:strCache>
                <c:ptCount val="1"/>
                <c:pt idx="0">
                  <c:v>Grupo 5</c:v>
                </c:pt>
              </c:strCache>
            </c:strRef>
          </c:tx>
          <c:spPr>
            <a:solidFill>
              <a:srgbClr val="D28280"/>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Cálculo'!$B$49:$D$49</c:f>
              <c:numCache>
                <c:formatCode>General</c:formatCode>
                <c:ptCount val="3"/>
                <c:pt idx="0">
                  <c:v>2004</c:v>
                </c:pt>
                <c:pt idx="1">
                  <c:v>2006</c:v>
                </c:pt>
                <c:pt idx="2">
                  <c:v>2008</c:v>
                </c:pt>
              </c:numCache>
            </c:numRef>
          </c:cat>
          <c:val>
            <c:numRef>
              <c:f>'Base de Cálculo'!$B$54:$D$54</c:f>
              <c:numCache>
                <c:formatCode>General</c:formatCode>
                <c:ptCount val="3"/>
                <c:pt idx="0">
                  <c:v>13</c:v>
                </c:pt>
                <c:pt idx="1">
                  <c:v>9</c:v>
                </c:pt>
                <c:pt idx="2">
                  <c:v>7</c:v>
                </c:pt>
              </c:numCache>
            </c:numRef>
          </c:val>
        </c:ser>
        <c:overlap val="100"/>
        <c:axId val="115124864"/>
        <c:axId val="115161344"/>
      </c:barChart>
      <c:catAx>
        <c:axId val="115124864"/>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5161344"/>
        <c:crosses val="autoZero"/>
        <c:auto val="1"/>
        <c:lblAlgn val="ctr"/>
        <c:lblOffset val="100"/>
      </c:catAx>
      <c:valAx>
        <c:axId val="115161344"/>
        <c:scaling>
          <c:orientation val="minMax"/>
          <c:max val="25"/>
        </c:scaling>
        <c:axPos val="l"/>
        <c:majorGridlines/>
        <c:title>
          <c:tx>
            <c:rich>
              <a:bodyPr/>
              <a:lstStyle/>
              <a:p>
                <a:pPr>
                  <a:defRPr sz="800" b="1" i="0" u="none" strike="noStrike" baseline="0">
                    <a:solidFill>
                      <a:srgbClr val="000000"/>
                    </a:solidFill>
                    <a:latin typeface="Arial"/>
                    <a:ea typeface="Arial"/>
                    <a:cs typeface="Arial"/>
                  </a:defRPr>
                </a:pPr>
                <a:r>
                  <a:rPr lang="pt-BR"/>
                  <a:t>Nº de Municípios</a:t>
                </a:r>
              </a:p>
            </c:rich>
          </c:tx>
          <c:layout>
            <c:manualLayout>
              <c:xMode val="edge"/>
              <c:yMode val="edge"/>
              <c:x val="2.8551969179136008E-2"/>
              <c:y val="0.16384209720559645"/>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5124864"/>
        <c:crosses val="autoZero"/>
        <c:crossBetween val="between"/>
      </c:valAx>
    </c:plotArea>
    <c:legend>
      <c:legendPos val="b"/>
      <c:layout>
        <c:manualLayout>
          <c:xMode val="edge"/>
          <c:yMode val="edge"/>
          <c:x val="2.4137931034482748E-2"/>
          <c:y val="0.84360189573459965"/>
          <c:w val="0.90689655172413786"/>
          <c:h val="7.582938388625593E-2"/>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25468606784162867"/>
          <c:y val="8.390078000813278E-2"/>
          <c:w val="0.6197021171446998"/>
          <c:h val="0.60427446569179089"/>
        </c:manualLayout>
      </c:layout>
      <c:barChart>
        <c:barDir val="col"/>
        <c:grouping val="stacked"/>
        <c:ser>
          <c:idx val="0"/>
          <c:order val="0"/>
          <c:tx>
            <c:strRef>
              <c:f>'Base de Cálculo'!$A$64</c:f>
              <c:strCache>
                <c:ptCount val="1"/>
                <c:pt idx="0">
                  <c:v>&gt;0,800</c:v>
                </c:pt>
              </c:strCache>
            </c:strRef>
          </c:tx>
          <c:spPr>
            <a:solidFill>
              <a:srgbClr val="B0CA7C"/>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Cálculo'!$B$63</c:f>
              <c:numCache>
                <c:formatCode>General</c:formatCode>
                <c:ptCount val="1"/>
                <c:pt idx="0">
                  <c:v>2000</c:v>
                </c:pt>
              </c:numCache>
            </c:numRef>
          </c:cat>
          <c:val>
            <c:numRef>
              <c:f>'Base de Cálculo'!$B$64</c:f>
              <c:numCache>
                <c:formatCode>General</c:formatCode>
                <c:ptCount val="1"/>
                <c:pt idx="0">
                  <c:v>5</c:v>
                </c:pt>
              </c:numCache>
            </c:numRef>
          </c:val>
        </c:ser>
        <c:ser>
          <c:idx val="1"/>
          <c:order val="1"/>
          <c:tx>
            <c:strRef>
              <c:f>'Base de Cálculo'!$A$65</c:f>
              <c:strCache>
                <c:ptCount val="1"/>
                <c:pt idx="0">
                  <c:v>entre 0,500 - 0,800</c:v>
                </c:pt>
              </c:strCache>
            </c:strRef>
          </c:tx>
          <c:spPr>
            <a:solidFill>
              <a:srgbClr val="FFFE9C"/>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Cálculo'!$B$63</c:f>
              <c:numCache>
                <c:formatCode>General</c:formatCode>
                <c:ptCount val="1"/>
                <c:pt idx="0">
                  <c:v>2000</c:v>
                </c:pt>
              </c:numCache>
            </c:numRef>
          </c:cat>
          <c:val>
            <c:numRef>
              <c:f>'Base de Cálculo'!$B$65</c:f>
              <c:numCache>
                <c:formatCode>General</c:formatCode>
                <c:ptCount val="1"/>
                <c:pt idx="0">
                  <c:v>17</c:v>
                </c:pt>
              </c:numCache>
            </c:numRef>
          </c:val>
        </c:ser>
        <c:ser>
          <c:idx val="2"/>
          <c:order val="2"/>
          <c:tx>
            <c:strRef>
              <c:f>'Base de Cálculo'!$A$66</c:f>
              <c:strCache>
                <c:ptCount val="1"/>
                <c:pt idx="0">
                  <c:v>&lt;0,500</c:v>
                </c:pt>
              </c:strCache>
            </c:strRef>
          </c:tx>
          <c:spPr>
            <a:solidFill>
              <a:srgbClr val="D28280"/>
            </a:solidFill>
          </c:spPr>
          <c:dLbls>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Cálculo'!$B$63</c:f>
              <c:numCache>
                <c:formatCode>General</c:formatCode>
                <c:ptCount val="1"/>
                <c:pt idx="0">
                  <c:v>2000</c:v>
                </c:pt>
              </c:numCache>
            </c:numRef>
          </c:cat>
          <c:val>
            <c:numRef>
              <c:f>'Base de Cálculo'!$B$66</c:f>
              <c:numCache>
                <c:formatCode>General</c:formatCode>
                <c:ptCount val="1"/>
              </c:numCache>
            </c:numRef>
          </c:val>
        </c:ser>
        <c:gapWidth val="250"/>
        <c:overlap val="100"/>
        <c:axId val="115412992"/>
        <c:axId val="115416064"/>
      </c:barChart>
      <c:catAx>
        <c:axId val="115412992"/>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5416064"/>
        <c:crosses val="autoZero"/>
        <c:auto val="1"/>
        <c:lblAlgn val="ctr"/>
        <c:lblOffset val="100"/>
      </c:catAx>
      <c:valAx>
        <c:axId val="115416064"/>
        <c:scaling>
          <c:orientation val="minMax"/>
          <c:max val="25"/>
        </c:scaling>
        <c:axPos val="l"/>
        <c:majorGridlines/>
        <c:title>
          <c:tx>
            <c:rich>
              <a:bodyPr/>
              <a:lstStyle/>
              <a:p>
                <a:pPr>
                  <a:defRPr sz="800" b="1" i="0" u="none" strike="noStrike" baseline="0">
                    <a:solidFill>
                      <a:srgbClr val="000000"/>
                    </a:solidFill>
                    <a:latin typeface="Arial"/>
                    <a:ea typeface="Arial"/>
                    <a:cs typeface="Arial"/>
                  </a:defRPr>
                </a:pPr>
                <a:r>
                  <a:rPr lang="pt-BR"/>
                  <a:t>Nº de Municípios</a:t>
                </a:r>
              </a:p>
            </c:rich>
          </c:tx>
          <c:layout>
            <c:manualLayout>
              <c:xMode val="edge"/>
              <c:yMode val="edge"/>
              <c:x val="3.6933171815061672E-2"/>
              <c:y val="0.16781857875242273"/>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5412992"/>
        <c:crosses val="autoZero"/>
        <c:crossBetween val="between"/>
      </c:valAx>
    </c:plotArea>
    <c:legend>
      <c:legendPos val="b"/>
      <c:layout>
        <c:manualLayout>
          <c:xMode val="edge"/>
          <c:yMode val="edge"/>
          <c:x val="4.5822060703950472E-2"/>
          <c:y val="0.86915887850467555"/>
          <c:w val="0.89757419745608724"/>
          <c:h val="6.5420560747663559E-2"/>
        </c:manualLayout>
      </c:layout>
      <c:txPr>
        <a:bodyPr/>
        <a:lstStyle/>
        <a:p>
          <a:pPr>
            <a:defRPr sz="735" b="0" i="0" u="none" strike="noStrike" baseline="0">
              <a:solidFill>
                <a:srgbClr val="000000"/>
              </a:solidFill>
              <a:latin typeface="Arial"/>
              <a:ea typeface="Arial"/>
              <a:cs typeface="Arial"/>
            </a:defRPr>
          </a:pPr>
          <a:endParaRPr lang="pt-BR"/>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26829268292682928"/>
          <c:y val="6.25E-2"/>
          <c:w val="0.35975609756097582"/>
          <c:h val="0.78125"/>
        </c:manualLayout>
      </c:layout>
      <c:barChart>
        <c:barDir val="col"/>
        <c:grouping val="clustered"/>
        <c:ser>
          <c:idx val="0"/>
          <c:order val="0"/>
          <c:tx>
            <c:strRef>
              <c:f>'Base de Cálculo'!$A$77</c:f>
              <c:strCache>
                <c:ptCount val="1"/>
                <c:pt idx="0">
                  <c:v>Bovinocultura</c:v>
                </c:pt>
              </c:strCache>
            </c:strRef>
          </c:tx>
          <c:cat>
            <c:numRef>
              <c:f>'Base de Cálculo'!$B$76:$C$76</c:f>
              <c:numCache>
                <c:formatCode>General</c:formatCode>
                <c:ptCount val="2"/>
                <c:pt idx="0">
                  <c:v>2008</c:v>
                </c:pt>
                <c:pt idx="1">
                  <c:v>2010</c:v>
                </c:pt>
              </c:numCache>
            </c:numRef>
          </c:cat>
          <c:val>
            <c:numRef>
              <c:f>'Base de Cálculo'!$B$77:$C$77</c:f>
              <c:numCache>
                <c:formatCode>#,##0</c:formatCode>
                <c:ptCount val="2"/>
                <c:pt idx="0">
                  <c:v>259411</c:v>
                </c:pt>
                <c:pt idx="1">
                  <c:v>289789</c:v>
                </c:pt>
              </c:numCache>
            </c:numRef>
          </c:val>
        </c:ser>
        <c:ser>
          <c:idx val="1"/>
          <c:order val="1"/>
          <c:tx>
            <c:strRef>
              <c:f>'Base de Cálculo'!$A$78</c:f>
              <c:strCache>
                <c:ptCount val="1"/>
                <c:pt idx="0">
                  <c:v>Avicultura</c:v>
                </c:pt>
              </c:strCache>
            </c:strRef>
          </c:tx>
          <c:cat>
            <c:numRef>
              <c:f>'Base de Cálculo'!$B$76:$C$76</c:f>
              <c:numCache>
                <c:formatCode>General</c:formatCode>
                <c:ptCount val="2"/>
                <c:pt idx="0">
                  <c:v>2008</c:v>
                </c:pt>
                <c:pt idx="1">
                  <c:v>2010</c:v>
                </c:pt>
              </c:numCache>
            </c:numRef>
          </c:cat>
          <c:val>
            <c:numRef>
              <c:f>'Base de Cálculo'!$B$78:$C$78</c:f>
              <c:numCache>
                <c:formatCode>#,##0</c:formatCode>
                <c:ptCount val="2"/>
                <c:pt idx="0">
                  <c:v>18857601</c:v>
                </c:pt>
                <c:pt idx="1">
                  <c:v>15853833</c:v>
                </c:pt>
              </c:numCache>
            </c:numRef>
          </c:val>
        </c:ser>
        <c:ser>
          <c:idx val="2"/>
          <c:order val="2"/>
          <c:tx>
            <c:strRef>
              <c:f>'Base de Cálculo'!$A$79</c:f>
              <c:strCache>
                <c:ptCount val="1"/>
                <c:pt idx="0">
                  <c:v>Suinocultura</c:v>
                </c:pt>
              </c:strCache>
            </c:strRef>
          </c:tx>
          <c:cat>
            <c:numRef>
              <c:f>'Base de Cálculo'!$B$76:$C$76</c:f>
              <c:numCache>
                <c:formatCode>General</c:formatCode>
                <c:ptCount val="2"/>
                <c:pt idx="0">
                  <c:v>2008</c:v>
                </c:pt>
                <c:pt idx="1">
                  <c:v>2010</c:v>
                </c:pt>
              </c:numCache>
            </c:numRef>
          </c:cat>
          <c:val>
            <c:numRef>
              <c:f>'Base de Cálculo'!$B$79:$C$79</c:f>
              <c:numCache>
                <c:formatCode>#,##0</c:formatCode>
                <c:ptCount val="2"/>
                <c:pt idx="0">
                  <c:v>32023</c:v>
                </c:pt>
                <c:pt idx="1">
                  <c:v>45963</c:v>
                </c:pt>
              </c:numCache>
            </c:numRef>
          </c:val>
        </c:ser>
        <c:axId val="115869952"/>
        <c:axId val="115872512"/>
      </c:barChart>
      <c:catAx>
        <c:axId val="115869952"/>
        <c:scaling>
          <c:orientation val="minMax"/>
        </c:scaling>
        <c:axPos val="b"/>
        <c:numFmt formatCode="General" sourceLinked="1"/>
        <c:majorTickMark val="none"/>
        <c:tickLblPos val="nextTo"/>
        <c:txPr>
          <a:bodyPr rot="0" vert="horz"/>
          <a:lstStyle/>
          <a:p>
            <a:pPr>
              <a:defRPr/>
            </a:pPr>
            <a:endParaRPr lang="pt-BR"/>
          </a:p>
        </c:txPr>
        <c:crossAx val="115872512"/>
        <c:crosses val="autoZero"/>
        <c:auto val="1"/>
        <c:lblAlgn val="ctr"/>
        <c:lblOffset val="100"/>
      </c:catAx>
      <c:valAx>
        <c:axId val="115872512"/>
        <c:scaling>
          <c:logBase val="10"/>
          <c:orientation val="minMax"/>
        </c:scaling>
        <c:axPos val="l"/>
        <c:majorGridlines/>
        <c:numFmt formatCode="#,##0" sourceLinked="1"/>
        <c:majorTickMark val="none"/>
        <c:tickLblPos val="nextTo"/>
        <c:txPr>
          <a:bodyPr rot="0" vert="horz"/>
          <a:lstStyle/>
          <a:p>
            <a:pPr>
              <a:defRPr/>
            </a:pPr>
            <a:endParaRPr lang="pt-BR"/>
          </a:p>
        </c:txPr>
        <c:crossAx val="115869952"/>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1509680904034916"/>
          <c:y val="7.5213675213675224E-2"/>
          <c:w val="0.79329771881408762"/>
          <c:h val="0.72917369944141663"/>
        </c:manualLayout>
      </c:layout>
      <c:barChart>
        <c:barDir val="col"/>
        <c:grouping val="clustered"/>
        <c:ser>
          <c:idx val="0"/>
          <c:order val="0"/>
          <c:spPr>
            <a:solidFill>
              <a:srgbClr val="8064A2">
                <a:lumMod val="40000"/>
                <a:lumOff val="60000"/>
              </a:srgbClr>
            </a:solidFill>
          </c:spPr>
          <c:dLbls>
            <c:dLbl>
              <c:idx val="0"/>
              <c:layout>
                <c:manualLayout>
                  <c:x val="0"/>
                  <c:y val="0.34722222222222232"/>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outEnd"/>
              <c:showVal val="1"/>
            </c:dLbl>
            <c:dLbl>
              <c:idx val="1"/>
              <c:layout>
                <c:manualLayout>
                  <c:x val="0"/>
                  <c:y val="0.3611111111111111"/>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outEnd"/>
              <c:showVal val="1"/>
            </c:dLbl>
            <c:dLbl>
              <c:idx val="2"/>
              <c:layout>
                <c:manualLayout>
                  <c:x val="0"/>
                  <c:y val="0.375000000000001"/>
                </c:manualLayout>
              </c:layout>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outEnd"/>
              <c:showVal val="1"/>
            </c:dLbl>
            <c:dLbl>
              <c:idx val="3"/>
              <c:layout>
                <c:manualLayout>
                  <c:x val="4.2872454448017357E-3"/>
                  <c:y val="0.30769230769230782"/>
                </c:manualLayout>
              </c:layout>
              <c:dLblPos val="outEnd"/>
              <c:showVal val="1"/>
            </c:dLbl>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numRef>
              <c:f>'Base de Cálculo'!$A$88:$D$88</c:f>
              <c:numCache>
                <c:formatCode>0</c:formatCode>
                <c:ptCount val="4"/>
                <c:pt idx="0" formatCode="General">
                  <c:v>2005</c:v>
                </c:pt>
                <c:pt idx="1">
                  <c:v>2007</c:v>
                </c:pt>
                <c:pt idx="2">
                  <c:v>2008</c:v>
                </c:pt>
                <c:pt idx="3">
                  <c:v>2010</c:v>
                </c:pt>
              </c:numCache>
            </c:numRef>
          </c:cat>
          <c:val>
            <c:numRef>
              <c:f>'Base de Cálculo'!$A$89:$D$89</c:f>
              <c:numCache>
                <c:formatCode>0</c:formatCode>
                <c:ptCount val="4"/>
                <c:pt idx="0" formatCode="General">
                  <c:v>3114</c:v>
                </c:pt>
                <c:pt idx="1">
                  <c:v>3187</c:v>
                </c:pt>
                <c:pt idx="2">
                  <c:v>3253</c:v>
                </c:pt>
                <c:pt idx="3">
                  <c:v>3314</c:v>
                </c:pt>
              </c:numCache>
            </c:numRef>
          </c:val>
        </c:ser>
        <c:axId val="116249344"/>
        <c:axId val="116250880"/>
      </c:barChart>
      <c:catAx>
        <c:axId val="116249344"/>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6250880"/>
        <c:crosses val="autoZero"/>
        <c:auto val="1"/>
        <c:lblAlgn val="ctr"/>
        <c:lblOffset val="100"/>
      </c:catAx>
      <c:valAx>
        <c:axId val="116250880"/>
        <c:scaling>
          <c:orientation val="minMax"/>
          <c:max val="5000"/>
        </c:scaling>
        <c:axPos val="l"/>
        <c:majorGridlines/>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6249344"/>
        <c:crosses val="autoZero"/>
        <c:crossBetween val="between"/>
        <c:majorUnit val="1000"/>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plotArea>
      <c:layout>
        <c:manualLayout>
          <c:layoutTarget val="inner"/>
          <c:xMode val="edge"/>
          <c:yMode val="edge"/>
          <c:x val="0.21683673469387754"/>
          <c:y val="0.13227581574392228"/>
          <c:w val="0.74489795918367563"/>
          <c:h val="0.65079701346010166"/>
        </c:manualLayout>
      </c:layout>
      <c:barChart>
        <c:barDir val="col"/>
        <c:grouping val="clustered"/>
        <c:ser>
          <c:idx val="0"/>
          <c:order val="0"/>
          <c:spPr>
            <a:solidFill>
              <a:srgbClr val="4BACC6">
                <a:lumMod val="60000"/>
                <a:lumOff val="40000"/>
              </a:srgbClr>
            </a:solidFill>
          </c:spPr>
          <c:dLbls>
            <c:dLbl>
              <c:idx val="0"/>
              <c:layout>
                <c:manualLayout>
                  <c:x val="2.7776811810195706E-3"/>
                  <c:y val="9.9204266133401022E-3"/>
                </c:manualLayout>
              </c:layout>
              <c:dLblPos val="outEnd"/>
              <c:showVal val="1"/>
            </c:dLbl>
            <c:dLbl>
              <c:idx val="1"/>
              <c:layout>
                <c:manualLayout>
                  <c:x val="5.5556935509244445E-3"/>
                  <c:y val="2.6457803885625544E-3"/>
                </c:manualLayout>
              </c:layout>
              <c:dLblPos val="outEnd"/>
              <c:showVal val="1"/>
            </c:dLbl>
            <c:dLbl>
              <c:idx val="2"/>
              <c:layout>
                <c:manualLayout>
                  <c:x val="-3.3118888530101007E-7"/>
                  <c:y val="1.1742421086253169E-2"/>
                </c:manualLayout>
              </c:layout>
              <c:dLblPos val="outEnd"/>
              <c:showVal val="1"/>
            </c:dLbl>
            <c:dLbl>
              <c:idx val="3"/>
              <c:layout>
                <c:manualLayout>
                  <c:x val="-8.4121976866456758E-3"/>
                  <c:y val="7.0546737213404032E-3"/>
                </c:manualLayout>
              </c:layout>
              <c:dLblPos val="outEnd"/>
              <c:showVal val="1"/>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pt-BR"/>
              </a:p>
            </c:txPr>
            <c:showVal val="1"/>
          </c:dLbls>
          <c:cat>
            <c:strRef>
              <c:f>'Base de Cálculo'!$A$102:$D$102</c:f>
              <c:strCache>
                <c:ptCount val="4"/>
                <c:pt idx="0">
                  <c:v>fev. 2008</c:v>
                </c:pt>
                <c:pt idx="1">
                  <c:v>dez. 2008</c:v>
                </c:pt>
                <c:pt idx="2">
                  <c:v>2009</c:v>
                </c:pt>
                <c:pt idx="3">
                  <c:v>ago.2010</c:v>
                </c:pt>
              </c:strCache>
            </c:strRef>
          </c:cat>
          <c:val>
            <c:numRef>
              <c:f>'Base de Cálculo'!$A$103:$D$103</c:f>
              <c:numCache>
                <c:formatCode>General</c:formatCode>
                <c:ptCount val="4"/>
                <c:pt idx="0">
                  <c:v>18</c:v>
                </c:pt>
                <c:pt idx="1">
                  <c:v>18</c:v>
                </c:pt>
                <c:pt idx="2">
                  <c:v>14</c:v>
                </c:pt>
                <c:pt idx="3">
                  <c:v>0</c:v>
                </c:pt>
              </c:numCache>
            </c:numRef>
          </c:val>
        </c:ser>
        <c:axId val="116542464"/>
        <c:axId val="116569600"/>
      </c:barChart>
      <c:catAx>
        <c:axId val="116542464"/>
        <c:scaling>
          <c:orientation val="minMax"/>
        </c:scaling>
        <c:axPos val="b"/>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6569600"/>
        <c:crosses val="autoZero"/>
        <c:auto val="1"/>
        <c:lblAlgn val="ctr"/>
        <c:lblOffset val="100"/>
      </c:catAx>
      <c:valAx>
        <c:axId val="116569600"/>
        <c:scaling>
          <c:orientation val="minMax"/>
          <c:max val="100"/>
        </c:scaling>
        <c:axPos val="l"/>
        <c:majorGridlines/>
        <c:title>
          <c:tx>
            <c:rich>
              <a:bodyPr/>
              <a:lstStyle/>
              <a:p>
                <a:pPr>
                  <a:defRPr sz="800" b="1" i="0" u="none" strike="noStrike" baseline="0">
                    <a:solidFill>
                      <a:srgbClr val="000000"/>
                    </a:solidFill>
                    <a:latin typeface="Arial"/>
                    <a:ea typeface="Arial"/>
                    <a:cs typeface="Arial"/>
                  </a:defRPr>
                </a:pPr>
                <a:r>
                  <a:rPr lang="pt-BR"/>
                  <a:t>N º </a:t>
                </a:r>
              </a:p>
            </c:rich>
          </c:tx>
          <c:layout>
            <c:manualLayout>
              <c:xMode val="edge"/>
              <c:yMode val="edge"/>
              <c:x val="5.0972571988559312E-2"/>
              <c:y val="0.36989925192093637"/>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Arial"/>
                <a:ea typeface="Arial"/>
                <a:cs typeface="Arial"/>
              </a:defRPr>
            </a:pPr>
            <a:endParaRPr lang="pt-BR"/>
          </a:p>
        </c:txPr>
        <c:crossAx val="116542464"/>
        <c:crosses val="autoZero"/>
        <c:crossBetween val="between"/>
        <c:majorUnit val="20"/>
      </c:valAx>
    </c:plotArea>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9788943700712908"/>
          <c:y val="0.10869565217391357"/>
          <c:w val="0.76517248976089669"/>
          <c:h val="0.71304347826087244"/>
        </c:manualLayout>
      </c:layout>
      <c:barChart>
        <c:barDir val="col"/>
        <c:grouping val="clustered"/>
        <c:ser>
          <c:idx val="0"/>
          <c:order val="0"/>
          <c:tx>
            <c:strRef>
              <c:f>'Base de Cálculo'!$A$119</c:f>
              <c:strCache>
                <c:ptCount val="1"/>
                <c:pt idx="0">
                  <c:v>FM.07-A</c:v>
                </c:pt>
              </c:strCache>
            </c:strRef>
          </c:tx>
          <c:spPr>
            <a:solidFill>
              <a:srgbClr val="FFCC00"/>
            </a:solidFill>
            <a:ln w="25400">
              <a:noFill/>
            </a:ln>
          </c:spPr>
          <c:dLbls>
            <c:dLbl>
              <c:idx val="0"/>
              <c:layout>
                <c:manualLayout>
                  <c:x val="4.2657332341689072E-3"/>
                  <c:y val="0.13982654342120276"/>
                </c:manualLayout>
              </c:layout>
              <c:dLblPos val="outEnd"/>
              <c:showVal val="1"/>
            </c:dLbl>
            <c:dLbl>
              <c:idx val="1"/>
              <c:layout>
                <c:manualLayout>
                  <c:x val="2.9463012562233651E-3"/>
                  <c:y val="0.14966518315645394"/>
                </c:manualLayout>
              </c:layout>
              <c:dLblPos val="outEnd"/>
              <c:showVal val="1"/>
            </c:dLbl>
            <c:dLbl>
              <c:idx val="2"/>
              <c:layout>
                <c:manualLayout>
                  <c:x val="-1.0113795382552641E-3"/>
                  <c:y val="0.13905648750427987"/>
                </c:manualLayout>
              </c:layout>
              <c:dLblPos val="outEnd"/>
              <c:showVal val="1"/>
            </c:dLbl>
            <c:dLbl>
              <c:idx val="3"/>
              <c:layout>
                <c:manualLayout>
                  <c:x val="0"/>
                  <c:y val="0.18855218855218925"/>
                </c:manualLayout>
              </c:layout>
              <c:spPr>
                <a:noFill/>
                <a:ln w="25400">
                  <a:noFill/>
                </a:ln>
              </c:spPr>
              <c:txPr>
                <a:bodyPr/>
                <a:lstStyle/>
                <a:p>
                  <a:pPr>
                    <a:defRPr sz="800" b="1" i="0" u="none" strike="noStrike" baseline="0">
                      <a:solidFill>
                        <a:srgbClr val="000000"/>
                      </a:solidFill>
                      <a:latin typeface="Arial"/>
                      <a:ea typeface="Arial"/>
                      <a:cs typeface="Arial"/>
                    </a:defRPr>
                  </a:pPr>
                  <a:endParaRPr lang="pt-BR"/>
                </a:p>
              </c:txPr>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pt-BR"/>
              </a:p>
            </c:txPr>
            <c:showVal val="1"/>
          </c:dLbls>
          <c:cat>
            <c:numRef>
              <c:f>'Base de Cálculo'!$B$118:$E$118</c:f>
              <c:numCache>
                <c:formatCode>0</c:formatCode>
                <c:ptCount val="4"/>
                <c:pt idx="0" formatCode="General">
                  <c:v>2005</c:v>
                </c:pt>
                <c:pt idx="1">
                  <c:v>2007</c:v>
                </c:pt>
                <c:pt idx="2">
                  <c:v>2008</c:v>
                </c:pt>
                <c:pt idx="3">
                  <c:v>2010</c:v>
                </c:pt>
              </c:numCache>
            </c:numRef>
          </c:cat>
          <c:val>
            <c:numRef>
              <c:f>'Base de Cálculo'!$B$119:$E$119</c:f>
              <c:numCache>
                <c:formatCode>0</c:formatCode>
                <c:ptCount val="4"/>
                <c:pt idx="0" formatCode="General">
                  <c:v>6177</c:v>
                </c:pt>
                <c:pt idx="1">
                  <c:v>6715</c:v>
                </c:pt>
                <c:pt idx="2">
                  <c:v>6981</c:v>
                </c:pt>
                <c:pt idx="3">
                  <c:v>7724</c:v>
                </c:pt>
              </c:numCache>
            </c:numRef>
          </c:val>
        </c:ser>
        <c:axId val="116733440"/>
        <c:axId val="116873472"/>
      </c:barChart>
      <c:catAx>
        <c:axId val="116733440"/>
        <c:scaling>
          <c:orientation val="minMax"/>
        </c:scaling>
        <c:axPos val="b"/>
        <c:numFmt formatCode="General" sourceLinked="1"/>
        <c:tickLblPos val="nextTo"/>
        <c:spPr>
          <a:ln w="3175">
            <a:solidFill>
              <a:srgbClr val="969696"/>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6873472"/>
        <c:crosses val="autoZero"/>
        <c:auto val="1"/>
        <c:lblAlgn val="ctr"/>
        <c:lblOffset val="100"/>
        <c:tickLblSkip val="1"/>
        <c:tickMarkSkip val="1"/>
      </c:catAx>
      <c:valAx>
        <c:axId val="116873472"/>
        <c:scaling>
          <c:orientation val="minMax"/>
          <c:min val="0"/>
        </c:scaling>
        <c:axPos val="l"/>
        <c:majorGridlines>
          <c:spPr>
            <a:ln w="3175">
              <a:solidFill>
                <a:srgbClr val="969696"/>
              </a:solidFill>
              <a:prstDash val="solid"/>
            </a:ln>
          </c:spPr>
        </c:majorGridlines>
        <c:title>
          <c:tx>
            <c:rich>
              <a:bodyPr/>
              <a:lstStyle/>
              <a:p>
                <a:pPr>
                  <a:defRPr sz="950" b="1" i="0" u="none" strike="noStrike" baseline="0">
                    <a:solidFill>
                      <a:srgbClr val="000000"/>
                    </a:solidFill>
                    <a:latin typeface="Arial"/>
                    <a:ea typeface="Arial"/>
                    <a:cs typeface="Arial"/>
                  </a:defRPr>
                </a:pPr>
                <a:r>
                  <a:rPr lang="pt-BR"/>
                  <a:t>n°</a:t>
                </a:r>
              </a:p>
            </c:rich>
          </c:tx>
          <c:layout>
            <c:manualLayout>
              <c:xMode val="edge"/>
              <c:yMode val="edge"/>
              <c:x val="5.6516821007993739E-3"/>
              <c:y val="0.42608717009592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pt-BR"/>
          </a:p>
        </c:txPr>
        <c:crossAx val="116733440"/>
        <c:crosses val="autoZero"/>
        <c:crossBetween val="between"/>
        <c:majorUnit val="1000"/>
      </c:val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26</Pages>
  <Words>12107</Words>
  <Characters>65383</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dc:creator>
  <cp:lastModifiedBy>CPD</cp:lastModifiedBy>
  <cp:revision>2</cp:revision>
  <dcterms:created xsi:type="dcterms:W3CDTF">2011-12-26T17:10:00Z</dcterms:created>
  <dcterms:modified xsi:type="dcterms:W3CDTF">2011-12-26T17:10:00Z</dcterms:modified>
</cp:coreProperties>
</file>