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41" w:rsidRDefault="00A84741" w:rsidP="00A84741">
      <w:pPr>
        <w:pStyle w:val="Ttulo"/>
        <w:ind w:right="567"/>
      </w:pPr>
      <w:r>
        <w:t>MINUTA DE RESOLUÇÃO CONJUNTA SES/SMA/SERHS</w:t>
      </w:r>
    </w:p>
    <w:p w:rsidR="00323174" w:rsidRPr="00323174" w:rsidRDefault="00323174" w:rsidP="00A84741">
      <w:pPr>
        <w:pStyle w:val="Ttulo"/>
        <w:ind w:right="567"/>
        <w:rPr>
          <w:b w:val="0"/>
          <w:sz w:val="20"/>
          <w:szCs w:val="20"/>
        </w:rPr>
      </w:pPr>
      <w:r w:rsidRPr="00323174">
        <w:rPr>
          <w:b w:val="0"/>
          <w:sz w:val="20"/>
          <w:szCs w:val="20"/>
        </w:rPr>
        <w:t xml:space="preserve">(versão </w:t>
      </w:r>
      <w:r w:rsidR="006510C4">
        <w:rPr>
          <w:b w:val="0"/>
          <w:sz w:val="20"/>
          <w:szCs w:val="20"/>
        </w:rPr>
        <w:t>novembro de 2008</w:t>
      </w:r>
      <w:r w:rsidRPr="00323174">
        <w:rPr>
          <w:b w:val="0"/>
          <w:sz w:val="20"/>
          <w:szCs w:val="20"/>
        </w:rPr>
        <w:t>)</w:t>
      </w:r>
    </w:p>
    <w:p w:rsidR="00A84741" w:rsidRDefault="00A84741" w:rsidP="00A84741">
      <w:pPr>
        <w:ind w:right="567"/>
        <w:jc w:val="both"/>
        <w:rPr>
          <w:rFonts w:ascii="Arial" w:hAnsi="Arial"/>
        </w:rPr>
      </w:pPr>
    </w:p>
    <w:p w:rsidR="00A84741" w:rsidRDefault="00A84741" w:rsidP="00A84741">
      <w:pPr>
        <w:pStyle w:val="Recuodecorpodetexto"/>
        <w:ind w:right="567"/>
        <w:rPr>
          <w:i/>
        </w:rPr>
      </w:pPr>
      <w:r>
        <w:rPr>
          <w:i/>
        </w:rPr>
        <w:t xml:space="preserve">Disciplina o reúso para fins urbanos de água proveniente de Estações de Tratamento de Esgoto Sanitário (ETEs). </w:t>
      </w:r>
    </w:p>
    <w:p w:rsidR="00A84741" w:rsidRDefault="00A84741" w:rsidP="00A84741">
      <w:pPr>
        <w:pStyle w:val="Recuodecorpodetexto"/>
        <w:ind w:right="567"/>
        <w:rPr>
          <w:i/>
        </w:rPr>
      </w:pPr>
    </w:p>
    <w:p w:rsidR="00A84741" w:rsidRDefault="00A84741" w:rsidP="00A84741">
      <w:pPr>
        <w:pStyle w:val="Recuodecorpodetexto"/>
        <w:ind w:left="0" w:right="567"/>
      </w:pPr>
    </w:p>
    <w:p w:rsidR="00A84741" w:rsidRDefault="00A84741" w:rsidP="00A84741">
      <w:pPr>
        <w:pStyle w:val="Recuodecorpodetexto"/>
        <w:ind w:left="0" w:right="567" w:firstLine="900"/>
      </w:pPr>
      <w:r>
        <w:t>Os Secretários de Estado da Saúde, de Meio Ambiente e de Saneamento e Energia, considerando que:</w:t>
      </w:r>
    </w:p>
    <w:p w:rsidR="00A84741" w:rsidRDefault="00A84741" w:rsidP="00A84741">
      <w:pPr>
        <w:pStyle w:val="Recuodecorpodetexto"/>
        <w:ind w:left="0" w:right="567" w:firstLine="900"/>
      </w:pPr>
    </w:p>
    <w:p w:rsidR="00A84741" w:rsidRDefault="00A84741" w:rsidP="00A84741">
      <w:pPr>
        <w:pStyle w:val="Recuodecorpodetexto"/>
        <w:ind w:left="0" w:right="567" w:firstLine="900"/>
      </w:pPr>
      <w:proofErr w:type="gramStart"/>
      <w:r>
        <w:t>a</w:t>
      </w:r>
      <w:proofErr w:type="gramEnd"/>
      <w:r>
        <w:t xml:space="preserve"> Resolução n</w:t>
      </w:r>
      <w:r>
        <w:rPr>
          <w:vertAlign w:val="superscript"/>
        </w:rPr>
        <w:t>o</w:t>
      </w:r>
      <w:r>
        <w:t xml:space="preserve"> 54 do Conselho Nacional de Recursos Hídricos (CNRH), de 28 de novembro de 2005, que estabelece modalidades, diretrizes e critérios gerais para a prática de reúso direto não potável de água e dá outras provid</w:t>
      </w:r>
      <w:r w:rsidR="00705C5A">
        <w:t>ências, engloba o reúso urbano;</w:t>
      </w:r>
    </w:p>
    <w:p w:rsidR="00A84741" w:rsidRDefault="00A84741" w:rsidP="00A84741">
      <w:pPr>
        <w:pStyle w:val="Recuodecorpodetexto"/>
        <w:ind w:left="0" w:right="567" w:firstLine="900"/>
      </w:pPr>
      <w:proofErr w:type="gramStart"/>
      <w:r>
        <w:t>a</w:t>
      </w:r>
      <w:proofErr w:type="gramEnd"/>
      <w:r>
        <w:t xml:space="preserve"> utilização de água residuária proveniente de estações de tratamento de esgoto apresenta implicações de ordem sanitária e ambiental;</w:t>
      </w:r>
    </w:p>
    <w:p w:rsidR="00A84741" w:rsidRDefault="00A84741" w:rsidP="00A84741">
      <w:pPr>
        <w:pStyle w:val="Recuodecorpodetexto"/>
        <w:ind w:left="0" w:right="567" w:firstLine="900"/>
      </w:pPr>
      <w:proofErr w:type="gramStart"/>
      <w:r>
        <w:t>o</w:t>
      </w:r>
      <w:proofErr w:type="gramEnd"/>
      <w:r>
        <w:t xml:space="preserve"> reúso configura-se como iniciativa importante para o aprimoramento da  gestão  dos recursos hídricos, incluindo o estabelecimento de padrões menos exigentes para usos </w:t>
      </w:r>
      <w:r w:rsidR="009C25DE">
        <w:t>não</w:t>
      </w:r>
      <w:r w:rsidR="006510C4">
        <w:t xml:space="preserve"> </w:t>
      </w:r>
      <w:r>
        <w:t>nobres da água;</w:t>
      </w:r>
    </w:p>
    <w:p w:rsidR="00A84741" w:rsidRDefault="00A84741" w:rsidP="00A84741">
      <w:pPr>
        <w:pStyle w:val="Recuodecorpodetexto"/>
        <w:ind w:left="0" w:right="567" w:firstLine="900"/>
      </w:pPr>
      <w:proofErr w:type="gramStart"/>
      <w:r>
        <w:t>o</w:t>
      </w:r>
      <w:proofErr w:type="gramEnd"/>
      <w:r>
        <w:t xml:space="preserve"> reúso de água se tornou prática de racionalização  em franca expansão no Estado de São Paulo;</w:t>
      </w:r>
    </w:p>
    <w:p w:rsidR="00A84741" w:rsidRDefault="00A84741" w:rsidP="00A84741">
      <w:pPr>
        <w:pStyle w:val="Recuodecorpodetexto"/>
        <w:ind w:left="0" w:right="567" w:firstLine="900"/>
      </w:pPr>
      <w:proofErr w:type="gramStart"/>
      <w:r>
        <w:t>resolvem</w:t>
      </w:r>
      <w:proofErr w:type="gramEnd"/>
      <w:r>
        <w:t>:</w:t>
      </w:r>
    </w:p>
    <w:p w:rsidR="00A84741" w:rsidRDefault="00A84741" w:rsidP="00A84741">
      <w:pPr>
        <w:pStyle w:val="Recuodecorpodetexto"/>
        <w:ind w:left="0" w:right="567" w:firstLine="900"/>
      </w:pPr>
    </w:p>
    <w:p w:rsidR="00A84741" w:rsidRDefault="00A84741" w:rsidP="00A84741">
      <w:pPr>
        <w:pStyle w:val="Recuodecorpodetexto"/>
        <w:ind w:left="0" w:right="567" w:firstLine="900"/>
      </w:pPr>
      <w:r w:rsidRPr="00233048">
        <w:rPr>
          <w:b/>
        </w:rPr>
        <w:t>Artigo 1</w:t>
      </w:r>
      <w:r w:rsidRPr="00233048">
        <w:rPr>
          <w:b/>
          <w:vertAlign w:val="superscript"/>
        </w:rPr>
        <w:t>o</w:t>
      </w:r>
      <w:r>
        <w:t xml:space="preserve"> - Disciplinar, por meio desta Resolução Conjunta, o reúso para fins urbanos de água proveniente de Estações de Tratamento de Esgoto Sanitário (ETEs).</w:t>
      </w:r>
    </w:p>
    <w:p w:rsidR="00A84741" w:rsidRDefault="00A84741" w:rsidP="00A84741">
      <w:pPr>
        <w:pStyle w:val="Recuodecorpodetexto"/>
        <w:ind w:left="0" w:right="567" w:firstLine="900"/>
      </w:pPr>
    </w:p>
    <w:p w:rsidR="00A84741" w:rsidRDefault="00A84741" w:rsidP="00A84741">
      <w:pPr>
        <w:pStyle w:val="Recuodecorpodetexto"/>
        <w:ind w:left="0" w:right="567" w:firstLine="900"/>
      </w:pPr>
      <w:r>
        <w:rPr>
          <w:b/>
        </w:rPr>
        <w:t xml:space="preserve">Artigo </w:t>
      </w:r>
      <w:r w:rsidR="00705C5A">
        <w:rPr>
          <w:b/>
        </w:rPr>
        <w:t>2</w:t>
      </w:r>
      <w:r>
        <w:rPr>
          <w:b/>
        </w:rPr>
        <w:t xml:space="preserve">º </w:t>
      </w:r>
      <w:r>
        <w:t>- A água de reúso considerada nesta Resolução refere-se ao efluente gerado em ETEs, cujos processos de tratamento viabilizem o atendimento aos padrões de qualidade definidos nessa resolução para aproveitamento em determinadas atividades relacionadas ao meio urbano que não requerem necessariamente o uso de água potável.</w:t>
      </w:r>
    </w:p>
    <w:p w:rsidR="00A84741" w:rsidRDefault="00A84741" w:rsidP="00A84741">
      <w:pPr>
        <w:pStyle w:val="Recuodecorpodetexto"/>
        <w:ind w:left="0" w:right="567" w:firstLine="900"/>
      </w:pP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Artigo </w:t>
      </w:r>
      <w:r w:rsidR="00705C5A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º</w:t>
      </w:r>
      <w:r>
        <w:rPr>
          <w:rFonts w:ascii="Arial" w:hAnsi="Arial"/>
          <w:sz w:val="24"/>
        </w:rPr>
        <w:t xml:space="preserve"> - A água de reúso considerada nesta Resolução é aquela destinada exclusivamente à:</w:t>
      </w:r>
    </w:p>
    <w:p w:rsidR="00A84741" w:rsidRPr="00A84741" w:rsidRDefault="00A84741" w:rsidP="00A84741">
      <w:pPr>
        <w:pStyle w:val="NormalWeb1"/>
        <w:ind w:right="567" w:firstLine="900"/>
        <w:jc w:val="both"/>
        <w:rPr>
          <w:rFonts w:ascii="Arial" w:hAnsi="Arial" w:cs="Arial"/>
          <w:sz w:val="24"/>
          <w:szCs w:val="24"/>
        </w:rPr>
      </w:pPr>
      <w:r w:rsidRPr="00A84741">
        <w:rPr>
          <w:rFonts w:ascii="Arial" w:hAnsi="Arial" w:cs="Arial"/>
          <w:sz w:val="24"/>
          <w:szCs w:val="24"/>
        </w:rPr>
        <w:t xml:space="preserve">I - irrigação paisagística; 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II - lavagem de logradouros e outros espaços públicos, 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III - construção civil, e 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IV - desobstrução de tubulações de água pluvial. </w:t>
      </w:r>
    </w:p>
    <w:p w:rsidR="00705C5A" w:rsidRDefault="00705C5A" w:rsidP="00705C5A">
      <w:pPr>
        <w:pStyle w:val="Recuodecorpodetexto"/>
        <w:ind w:left="0" w:right="567" w:firstLine="851"/>
      </w:pPr>
      <w:r>
        <w:rPr>
          <w:b/>
        </w:rPr>
        <w:t xml:space="preserve">§1º </w:t>
      </w:r>
      <w:r w:rsidRPr="00705C5A">
        <w:t xml:space="preserve">A </w:t>
      </w:r>
      <w:r>
        <w:rPr>
          <w:b/>
        </w:rPr>
        <w:t>i</w:t>
      </w:r>
      <w:r>
        <w:t xml:space="preserve">rrigação paisagística considerada nesta Resolução é a prática de irrigação com água de reúso, de caráter esporádico, ou sazonal, de parques, jardins, campos de esporte e de lazer urbanos, ou áreas verdes de qualquer </w:t>
      </w:r>
      <w:r>
        <w:lastRenderedPageBreak/>
        <w:t>espécie, com os quais o público tenha ou possa a vir ter contato direto; não inclusa a irrigação de culturas agrícolas em geral.</w:t>
      </w:r>
    </w:p>
    <w:p w:rsidR="00705C5A" w:rsidRDefault="00705C5A" w:rsidP="00705C5A">
      <w:pPr>
        <w:pStyle w:val="Recuodecorpodetexto"/>
        <w:ind w:left="0" w:right="567" w:firstLine="851"/>
      </w:pPr>
    </w:p>
    <w:p w:rsidR="00705C5A" w:rsidRDefault="00705C5A" w:rsidP="00705C5A">
      <w:pPr>
        <w:pStyle w:val="Recuodecorpodetexto"/>
        <w:ind w:left="0" w:right="567" w:firstLine="851"/>
      </w:pPr>
      <w:r>
        <w:rPr>
          <w:b/>
        </w:rPr>
        <w:t xml:space="preserve">§2º </w:t>
      </w:r>
      <w:r w:rsidRPr="00705C5A">
        <w:t>O</w:t>
      </w:r>
      <w:r>
        <w:rPr>
          <w:b/>
        </w:rPr>
        <w:t xml:space="preserve"> </w:t>
      </w:r>
      <w:r>
        <w:t>reúso de água para construção civil considerado nesta Resolução refere-se à utilização de água residuária para processamento em usinas de concreto ou controle de poeira em obras.</w:t>
      </w:r>
    </w:p>
    <w:p w:rsidR="00A84741" w:rsidRDefault="00A84741" w:rsidP="00BD2A40">
      <w:pPr>
        <w:pStyle w:val="NormalWeb1"/>
        <w:numPr>
          <w:ilvl w:val="0"/>
          <w:numId w:val="1"/>
        </w:numPr>
        <w:ind w:right="567"/>
        <w:jc w:val="both"/>
        <w:rPr>
          <w:rFonts w:ascii="Arial" w:hAnsi="Arial"/>
          <w:sz w:val="24"/>
        </w:rPr>
      </w:pPr>
      <w:r w:rsidRPr="00233048">
        <w:rPr>
          <w:rFonts w:ascii="Arial" w:hAnsi="Arial"/>
          <w:b/>
          <w:sz w:val="24"/>
        </w:rPr>
        <w:t xml:space="preserve">Artigo </w:t>
      </w:r>
      <w:r w:rsidR="00705C5A">
        <w:rPr>
          <w:rFonts w:ascii="Arial" w:hAnsi="Arial"/>
          <w:b/>
          <w:sz w:val="24"/>
        </w:rPr>
        <w:t>4</w:t>
      </w:r>
      <w:r w:rsidRPr="00233048">
        <w:rPr>
          <w:rFonts w:ascii="Arial" w:hAnsi="Arial"/>
          <w:b/>
          <w:sz w:val="24"/>
          <w:vertAlign w:val="superscript"/>
        </w:rPr>
        <w:t>o</w:t>
      </w:r>
      <w:r>
        <w:rPr>
          <w:rFonts w:ascii="Arial" w:hAnsi="Arial"/>
          <w:sz w:val="24"/>
        </w:rPr>
        <w:t xml:space="preserve"> - Fica vedada a utilização de água de reúso de ETEs para lavagem de veículos, combate a incêndios, abastecimento de edificações e desobstrução das galerias de águas pluviais urbanas que drenem para Áreas de Proteção de Mananciais e corpos d’água Classe </w:t>
      </w:r>
      <w:proofErr w:type="gramStart"/>
      <w:r>
        <w:rPr>
          <w:rFonts w:ascii="Arial" w:hAnsi="Arial"/>
          <w:sz w:val="24"/>
        </w:rPr>
        <w:t>1</w:t>
      </w:r>
      <w:proofErr w:type="gramEnd"/>
      <w:r>
        <w:rPr>
          <w:rFonts w:ascii="Arial" w:hAnsi="Arial"/>
          <w:sz w:val="24"/>
        </w:rPr>
        <w:t xml:space="preserve">. </w:t>
      </w:r>
    </w:p>
    <w:p w:rsidR="00A84741" w:rsidRPr="00922AE9" w:rsidRDefault="00A84741" w:rsidP="00A84741">
      <w:pPr>
        <w:ind w:right="567" w:firstLine="902"/>
        <w:jc w:val="both"/>
        <w:rPr>
          <w:rFonts w:ascii="Arial" w:eastAsia="Arial Unicode MS" w:hAnsi="Arial"/>
        </w:rPr>
      </w:pPr>
      <w:r w:rsidRPr="00922AE9">
        <w:rPr>
          <w:rFonts w:ascii="Arial" w:eastAsia="Arial Unicode MS" w:hAnsi="Arial"/>
          <w:b/>
        </w:rPr>
        <w:t xml:space="preserve">Artigo </w:t>
      </w:r>
      <w:r w:rsidR="00705C5A">
        <w:rPr>
          <w:rFonts w:ascii="Arial" w:eastAsia="Arial Unicode MS" w:hAnsi="Arial"/>
          <w:b/>
        </w:rPr>
        <w:t>5</w:t>
      </w:r>
      <w:r w:rsidRPr="00922AE9">
        <w:rPr>
          <w:rFonts w:ascii="Arial" w:eastAsia="Arial Unicode MS" w:hAnsi="Arial"/>
          <w:b/>
          <w:vertAlign w:val="superscript"/>
        </w:rPr>
        <w:t>o</w:t>
      </w:r>
      <w:r w:rsidRPr="00922AE9">
        <w:rPr>
          <w:rFonts w:ascii="Arial" w:eastAsia="Arial Unicode MS" w:hAnsi="Arial"/>
        </w:rPr>
        <w:t xml:space="preserve"> - As águas de reúso devem obrigatoriamente atender aos padrões de lançamento estabelecidos na Resolução CONAMA 357</w:t>
      </w:r>
      <w:r>
        <w:rPr>
          <w:rFonts w:ascii="Arial" w:eastAsia="Arial Unicode MS" w:hAnsi="Arial"/>
        </w:rPr>
        <w:t>,</w:t>
      </w:r>
      <w:r w:rsidRPr="00922AE9">
        <w:rPr>
          <w:rFonts w:ascii="Arial" w:eastAsia="Arial Unicode MS" w:hAnsi="Arial"/>
        </w:rPr>
        <w:t xml:space="preserve"> de 17</w:t>
      </w:r>
      <w:r>
        <w:rPr>
          <w:rFonts w:ascii="Arial" w:eastAsia="Arial Unicode MS" w:hAnsi="Arial"/>
        </w:rPr>
        <w:t xml:space="preserve"> de março de 2005</w:t>
      </w:r>
      <w:r w:rsidRPr="00922AE9">
        <w:rPr>
          <w:rFonts w:ascii="Arial" w:eastAsia="Arial Unicode MS" w:hAnsi="Arial"/>
        </w:rPr>
        <w:t>, que dispõe sobre a classificação dos corpos de água e diretrizes ambientais para o seu enquadramento, bem como estabelece as condições e padrões de lançamento de efluentes</w:t>
      </w:r>
    </w:p>
    <w:p w:rsidR="00A84741" w:rsidRDefault="00A84741" w:rsidP="00A84741">
      <w:pPr>
        <w:pStyle w:val="NormalWeb1"/>
        <w:spacing w:before="0" w:after="0"/>
        <w:ind w:right="567" w:firstLine="90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Artigo </w:t>
      </w:r>
      <w:r w:rsidR="00705C5A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º -</w:t>
      </w:r>
      <w:r>
        <w:rPr>
          <w:rFonts w:ascii="Arial" w:hAnsi="Arial"/>
          <w:sz w:val="24"/>
        </w:rPr>
        <w:t xml:space="preserve"> Além dos padrões especificados no artigo </w:t>
      </w:r>
      <w:r w:rsidR="00BD2A40">
        <w:rPr>
          <w:rFonts w:ascii="Arial" w:hAnsi="Arial"/>
          <w:sz w:val="24"/>
        </w:rPr>
        <w:t>5</w:t>
      </w:r>
      <w:r w:rsidRPr="00233048">
        <w:rPr>
          <w:rFonts w:ascii="Arial" w:hAnsi="Arial"/>
          <w:sz w:val="24"/>
          <w:vertAlign w:val="superscript"/>
        </w:rPr>
        <w:t>o</w:t>
      </w:r>
      <w:r>
        <w:rPr>
          <w:rFonts w:ascii="Arial" w:hAnsi="Arial"/>
          <w:sz w:val="24"/>
        </w:rPr>
        <w:t>, a água de reúso para fins urbanos observará os seguintes padrões de qualidade:</w:t>
      </w:r>
    </w:p>
    <w:tbl>
      <w:tblPr>
        <w:tblW w:w="89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88"/>
        <w:gridCol w:w="5009"/>
        <w:gridCol w:w="31"/>
      </w:tblGrid>
      <w:tr w:rsidR="00A84741" w:rsidRPr="00542201" w:rsidTr="00A84741">
        <w:trPr>
          <w:cantSplit/>
        </w:trPr>
        <w:tc>
          <w:tcPr>
            <w:tcW w:w="8928" w:type="dxa"/>
            <w:gridSpan w:val="3"/>
          </w:tcPr>
          <w:p w:rsidR="00A84741" w:rsidRPr="00542201" w:rsidRDefault="00A84741" w:rsidP="00A84741">
            <w:pPr>
              <w:pStyle w:val="Ttulo2"/>
              <w:ind w:right="567"/>
              <w:rPr>
                <w:color w:val="auto"/>
              </w:rPr>
            </w:pPr>
            <w:r w:rsidRPr="00542201">
              <w:rPr>
                <w:color w:val="auto"/>
              </w:rPr>
              <w:t>PADRÕES DE QUALIDADE</w:t>
            </w:r>
          </w:p>
        </w:tc>
      </w:tr>
      <w:tr w:rsidR="00A84741" w:rsidRPr="00542201" w:rsidTr="00A84741">
        <w:tc>
          <w:tcPr>
            <w:tcW w:w="3888" w:type="dxa"/>
          </w:tcPr>
          <w:p w:rsidR="00A84741" w:rsidRPr="00542201" w:rsidRDefault="00A84741" w:rsidP="00A84741">
            <w:pPr>
              <w:ind w:right="567"/>
              <w:jc w:val="center"/>
              <w:rPr>
                <w:rFonts w:ascii="Arial" w:hAnsi="Arial"/>
                <w:b/>
              </w:rPr>
            </w:pPr>
            <w:r w:rsidRPr="00542201">
              <w:rPr>
                <w:rFonts w:ascii="Arial" w:hAnsi="Arial"/>
                <w:b/>
              </w:rPr>
              <w:t>Parâmetros</w:t>
            </w:r>
          </w:p>
        </w:tc>
        <w:tc>
          <w:tcPr>
            <w:tcW w:w="5040" w:type="dxa"/>
            <w:gridSpan w:val="2"/>
          </w:tcPr>
          <w:p w:rsidR="00A84741" w:rsidRPr="00542201" w:rsidRDefault="00A84741" w:rsidP="00A84741">
            <w:pPr>
              <w:pStyle w:val="Ttulo2"/>
              <w:ind w:right="567"/>
              <w:rPr>
                <w:color w:val="auto"/>
              </w:rPr>
            </w:pPr>
            <w:r w:rsidRPr="00542201">
              <w:rPr>
                <w:color w:val="auto"/>
              </w:rPr>
              <w:t>Valor Máximo Permitido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jc w:val="center"/>
              <w:rPr>
                <w:rFonts w:ascii="Arial" w:hAnsi="Arial"/>
                <w:b/>
              </w:rPr>
            </w:pP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pStyle w:val="Ttulo1"/>
              <w:ind w:right="567"/>
              <w:rPr>
                <w:b w:val="0"/>
              </w:rPr>
            </w:pPr>
            <w:proofErr w:type="spellStart"/>
            <w:r>
              <w:rPr>
                <w:b w:val="0"/>
              </w:rPr>
              <w:t>E.coli</w:t>
            </w:r>
            <w:proofErr w:type="spellEnd"/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&lt;200 UFC/</w:t>
            </w:r>
            <w:proofErr w:type="gramStart"/>
            <w:r>
              <w:rPr>
                <w:rFonts w:ascii="Arial" w:hAnsi="Arial"/>
              </w:rPr>
              <w:t>100mL</w:t>
            </w:r>
            <w:proofErr w:type="gramEnd"/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Cistos de </w:t>
            </w:r>
            <w:proofErr w:type="spellStart"/>
            <w:r>
              <w:rPr>
                <w:rFonts w:ascii="Arial" w:hAnsi="Arial"/>
                <w:i/>
              </w:rPr>
              <w:t>Giardia</w:t>
            </w:r>
            <w:proofErr w:type="spellEnd"/>
            <w:r>
              <w:rPr>
                <w:rFonts w:ascii="Arial" w:hAnsi="Arial"/>
              </w:rPr>
              <w:t xml:space="preserve"> e oocistos de </w:t>
            </w:r>
            <w:proofErr w:type="spellStart"/>
            <w:r>
              <w:rPr>
                <w:rFonts w:ascii="Arial" w:hAnsi="Arial"/>
                <w:i/>
              </w:rPr>
              <w:t>Cryptosporidium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&lt;1 /L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Ovos viáveis de helmintos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&lt;1/L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pH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6,0 - 9,0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Cor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≤ 30 UH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Turbidez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≤ </w:t>
            </w:r>
            <w:proofErr w:type="gramStart"/>
            <w:r>
              <w:rPr>
                <w:rFonts w:ascii="Arial" w:hAnsi="Arial"/>
              </w:rPr>
              <w:t>5</w:t>
            </w:r>
            <w:proofErr w:type="gramEnd"/>
            <w:r>
              <w:rPr>
                <w:rFonts w:ascii="Arial" w:hAnsi="Arial"/>
              </w:rPr>
              <w:t xml:space="preserve"> UT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Odor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virtualmente</w:t>
            </w:r>
            <w:proofErr w:type="gramEnd"/>
            <w:r>
              <w:rPr>
                <w:rFonts w:ascii="Arial" w:hAnsi="Arial"/>
              </w:rPr>
              <w:t xml:space="preserve"> ausente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Óleos e graxas (OG)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virtualmente</w:t>
            </w:r>
            <w:proofErr w:type="gramEnd"/>
            <w:r>
              <w:rPr>
                <w:rFonts w:ascii="Arial" w:hAnsi="Arial"/>
              </w:rPr>
              <w:t xml:space="preserve"> ausentes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705C5A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Demanda bioquímica d</w:t>
            </w:r>
            <w:r w:rsidR="00705C5A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oxigênio (DBO)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≤ 20 </w:t>
            </w:r>
            <w:proofErr w:type="gramStart"/>
            <w:r>
              <w:rPr>
                <w:rFonts w:ascii="Arial" w:hAnsi="Arial"/>
              </w:rPr>
              <w:t>mg</w:t>
            </w:r>
            <w:proofErr w:type="gramEnd"/>
            <w:r>
              <w:rPr>
                <w:rFonts w:ascii="Arial" w:hAnsi="Arial"/>
              </w:rPr>
              <w:t>/L</w:t>
            </w:r>
          </w:p>
        </w:tc>
      </w:tr>
      <w:tr w:rsidR="00A84741" w:rsidTr="00A84741">
        <w:tc>
          <w:tcPr>
            <w:tcW w:w="3888" w:type="dxa"/>
          </w:tcPr>
          <w:p w:rsidR="00A84741" w:rsidRPr="0027135F" w:rsidRDefault="00A84741" w:rsidP="00A84741">
            <w:pPr>
              <w:ind w:right="567"/>
              <w:rPr>
                <w:rFonts w:ascii="Arial" w:hAnsi="Arial"/>
              </w:rPr>
            </w:pPr>
            <w:r w:rsidRPr="0027135F">
              <w:rPr>
                <w:rFonts w:ascii="Arial" w:hAnsi="Arial"/>
              </w:rPr>
              <w:t>Compostos orgânicos voláteis (VOCs)</w:t>
            </w:r>
          </w:p>
        </w:tc>
        <w:tc>
          <w:tcPr>
            <w:tcW w:w="5040" w:type="dxa"/>
            <w:gridSpan w:val="2"/>
          </w:tcPr>
          <w:p w:rsidR="00A84741" w:rsidRPr="0027135F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 w:rsidRPr="0027135F">
              <w:rPr>
                <w:rFonts w:ascii="Arial" w:hAnsi="Arial"/>
                <w:lang w:val="es-ES_tradnl"/>
              </w:rPr>
              <w:t>Ausentes (&lt;2ug/L)</w:t>
            </w:r>
          </w:p>
        </w:tc>
      </w:tr>
      <w:tr w:rsidR="00A84741" w:rsidTr="00A84741">
        <w:trPr>
          <w:gridAfter w:val="1"/>
          <w:wAfter w:w="31" w:type="dxa"/>
        </w:trPr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Nitrato</w:t>
            </w:r>
          </w:p>
        </w:tc>
        <w:tc>
          <w:tcPr>
            <w:tcW w:w="5009" w:type="dxa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≤10 mg NO</w:t>
            </w:r>
            <w:r>
              <w:rPr>
                <w:rFonts w:ascii="Arial" w:hAnsi="Arial"/>
                <w:vertAlign w:val="subscript"/>
                <w:lang w:val="es-ES_tradnl"/>
              </w:rPr>
              <w:t>3</w:t>
            </w:r>
            <w:r>
              <w:rPr>
                <w:rFonts w:ascii="Arial" w:hAnsi="Arial"/>
                <w:lang w:val="es-ES_tradnl"/>
              </w:rPr>
              <w:t>-N/L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Nitrogênio amoniacal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≤ 20 mg/L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Nitrito 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≤ 1mg NO2-N/L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Fósforo total 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≤ 5 mg P/L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Sólido suspenso total (SST)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≤ 30 </w:t>
            </w:r>
            <w:proofErr w:type="gramStart"/>
            <w:r>
              <w:rPr>
                <w:rFonts w:ascii="Arial" w:hAnsi="Arial"/>
              </w:rPr>
              <w:t>mg</w:t>
            </w:r>
            <w:proofErr w:type="gramEnd"/>
            <w:r>
              <w:rPr>
                <w:rFonts w:ascii="Arial" w:hAnsi="Arial"/>
              </w:rPr>
              <w:t>/L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Sólido dissolvido total (SDT)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≤ 500 </w:t>
            </w:r>
            <w:proofErr w:type="gramStart"/>
            <w:r>
              <w:rPr>
                <w:rFonts w:ascii="Arial" w:hAnsi="Arial"/>
              </w:rPr>
              <w:t>mg</w:t>
            </w:r>
            <w:proofErr w:type="gramEnd"/>
            <w:r>
              <w:rPr>
                <w:rFonts w:ascii="Arial" w:hAnsi="Arial"/>
              </w:rPr>
              <w:t xml:space="preserve">/L </w:t>
            </w:r>
          </w:p>
        </w:tc>
      </w:tr>
      <w:tr w:rsidR="00A84741" w:rsidTr="00A84741">
        <w:tc>
          <w:tcPr>
            <w:tcW w:w="3888" w:type="dxa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Cloro residual livre (CRL)</w:t>
            </w:r>
          </w:p>
        </w:tc>
        <w:tc>
          <w:tcPr>
            <w:tcW w:w="5040" w:type="dxa"/>
            <w:gridSpan w:val="2"/>
          </w:tcPr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0,5 </w:t>
            </w:r>
            <w:proofErr w:type="gramStart"/>
            <w:r>
              <w:rPr>
                <w:rFonts w:ascii="Arial" w:hAnsi="Arial"/>
              </w:rPr>
              <w:t>mg</w:t>
            </w:r>
            <w:proofErr w:type="gramEnd"/>
            <w:r>
              <w:rPr>
                <w:rFonts w:ascii="Arial" w:hAnsi="Arial"/>
              </w:rPr>
              <w:t>/L após 2 horas de contato</w:t>
            </w:r>
          </w:p>
          <w:p w:rsidR="00A84741" w:rsidRDefault="00A84741" w:rsidP="00A84741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CRL máximo de 1,0 </w:t>
            </w:r>
            <w:proofErr w:type="gramStart"/>
            <w:r>
              <w:rPr>
                <w:rFonts w:ascii="Arial" w:hAnsi="Arial"/>
              </w:rPr>
              <w:t>mg</w:t>
            </w:r>
            <w:proofErr w:type="gramEnd"/>
            <w:r>
              <w:rPr>
                <w:rFonts w:ascii="Arial" w:hAnsi="Arial"/>
              </w:rPr>
              <w:t>/L para rega direta de área verde e 2,0 mg/L para outros fins</w:t>
            </w:r>
          </w:p>
        </w:tc>
      </w:tr>
    </w:tbl>
    <w:p w:rsidR="00A84741" w:rsidRDefault="00A84741" w:rsidP="00A84741">
      <w:pPr>
        <w:ind w:righ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* ≤ </w:t>
      </w:r>
      <w:proofErr w:type="gramStart"/>
      <w:r>
        <w:rPr>
          <w:rFonts w:ascii="Arial" w:hAnsi="Arial"/>
          <w:sz w:val="20"/>
        </w:rPr>
        <w:t>1</w:t>
      </w:r>
      <w:proofErr w:type="gramEnd"/>
      <w:r>
        <w:rPr>
          <w:rFonts w:ascii="Arial" w:hAnsi="Arial"/>
          <w:sz w:val="20"/>
        </w:rPr>
        <w:t xml:space="preserve"> mg/L para uso na construção civil</w:t>
      </w:r>
    </w:p>
    <w:p w:rsidR="00A84741" w:rsidRDefault="00A84741" w:rsidP="00A84741">
      <w:pPr>
        <w:ind w:right="567"/>
        <w:rPr>
          <w:rFonts w:ascii="Arial" w:hAnsi="Arial"/>
          <w:b/>
        </w:rPr>
      </w:pPr>
    </w:p>
    <w:p w:rsidR="0036506D" w:rsidRDefault="00A84741" w:rsidP="00A84741">
      <w:pPr>
        <w:pStyle w:val="NormalWeb1"/>
        <w:ind w:right="567" w:firstLine="900"/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§1º </w:t>
      </w:r>
      <w:r>
        <w:rPr>
          <w:rFonts w:ascii="Arial" w:hAnsi="Arial"/>
          <w:color w:val="auto"/>
          <w:sz w:val="24"/>
        </w:rPr>
        <w:t>Para irrigação sistemática</w:t>
      </w:r>
      <w:r>
        <w:rPr>
          <w:rFonts w:ascii="Arial" w:hAnsi="Arial"/>
          <w:b/>
          <w:i/>
          <w:color w:val="auto"/>
          <w:sz w:val="24"/>
        </w:rPr>
        <w:t xml:space="preserve"> </w:t>
      </w:r>
      <w:r>
        <w:rPr>
          <w:rFonts w:ascii="Arial" w:hAnsi="Arial"/>
          <w:color w:val="auto"/>
          <w:sz w:val="24"/>
        </w:rPr>
        <w:t>de áreas verdes serão exigidos estudos específicos de aplicação</w:t>
      </w:r>
      <w:r w:rsidR="0036506D">
        <w:rPr>
          <w:rFonts w:ascii="Arial" w:hAnsi="Arial"/>
          <w:color w:val="auto"/>
          <w:sz w:val="24"/>
        </w:rPr>
        <w:t>, podendo ser estabelecidos padrões de qualidade mais restritivos.</w:t>
      </w:r>
      <w:r>
        <w:rPr>
          <w:rFonts w:ascii="Arial" w:hAnsi="Arial"/>
          <w:color w:val="auto"/>
          <w:sz w:val="24"/>
        </w:rPr>
        <w:t xml:space="preserve"> 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Artigo </w:t>
      </w:r>
      <w:r w:rsidR="00705C5A"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z w:val="24"/>
        </w:rPr>
        <w:t xml:space="preserve">º </w:t>
      </w:r>
      <w:r>
        <w:rPr>
          <w:rFonts w:ascii="Arial" w:hAnsi="Arial"/>
          <w:sz w:val="24"/>
        </w:rPr>
        <w:t>- As ETEs produtoras de água de reúso para fins urbanos devem ter sistema de tratamento que garanta a qualidade do produto no padrão estabelecido nesta Resolução, devendo para isto contar, no mínimo, com processo de tratamento secundário, seguido de filtração e desinfecção.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Artigo </w:t>
      </w:r>
      <w:r w:rsidR="00705C5A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º</w:t>
      </w:r>
      <w:r>
        <w:rPr>
          <w:rFonts w:ascii="Arial" w:hAnsi="Arial"/>
          <w:sz w:val="24"/>
        </w:rPr>
        <w:t xml:space="preserve"> - Para garantia do padrão de qualidade, a água de reúso deve ser monitorada por meio de análises laboratoriais, na freqüência abaixo estabelecida: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408"/>
      </w:tblGrid>
      <w:tr w:rsidR="00A84741" w:rsidTr="00A84741">
        <w:tc>
          <w:tcPr>
            <w:tcW w:w="4570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FREQUÊNCIA</w:t>
            </w:r>
          </w:p>
        </w:tc>
        <w:tc>
          <w:tcPr>
            <w:tcW w:w="4408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PARÂMETRO</w:t>
            </w:r>
          </w:p>
        </w:tc>
      </w:tr>
      <w:tr w:rsidR="00A84741" w:rsidTr="00A84741">
        <w:tc>
          <w:tcPr>
            <w:tcW w:w="4570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Diária</w:t>
            </w:r>
          </w:p>
        </w:tc>
        <w:tc>
          <w:tcPr>
            <w:tcW w:w="4408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pH</w:t>
            </w:r>
            <w:proofErr w:type="gramEnd"/>
            <w:r>
              <w:rPr>
                <w:rFonts w:ascii="Arial" w:hAnsi="Arial"/>
                <w:sz w:val="24"/>
              </w:rPr>
              <w:t xml:space="preserve">, cor, turbidez, SDT, SST, </w:t>
            </w:r>
            <w:proofErr w:type="spellStart"/>
            <w:r>
              <w:rPr>
                <w:rFonts w:ascii="Arial" w:hAnsi="Arial"/>
                <w:i/>
                <w:sz w:val="24"/>
              </w:rPr>
              <w:t>E.coli,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odor, CRL</w:t>
            </w:r>
          </w:p>
        </w:tc>
      </w:tr>
      <w:tr w:rsidR="00A84741" w:rsidTr="00A84741">
        <w:tc>
          <w:tcPr>
            <w:tcW w:w="4570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Semanal</w:t>
            </w:r>
          </w:p>
        </w:tc>
        <w:tc>
          <w:tcPr>
            <w:tcW w:w="4408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OG, DBO, Nitrogênio amoniacal, nitrato, nitrito e fósforo</w:t>
            </w:r>
          </w:p>
        </w:tc>
      </w:tr>
      <w:tr w:rsidR="00A84741" w:rsidTr="00A84741">
        <w:tc>
          <w:tcPr>
            <w:tcW w:w="4570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Mensal</w:t>
            </w:r>
          </w:p>
        </w:tc>
        <w:tc>
          <w:tcPr>
            <w:tcW w:w="4408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Protozoários e helmintos, Compostos Orgânicos Voláteis</w:t>
            </w:r>
          </w:p>
        </w:tc>
      </w:tr>
      <w:tr w:rsidR="00A84741" w:rsidTr="00A84741">
        <w:tc>
          <w:tcPr>
            <w:tcW w:w="4570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Anual</w:t>
            </w:r>
          </w:p>
        </w:tc>
        <w:tc>
          <w:tcPr>
            <w:tcW w:w="4408" w:type="dxa"/>
          </w:tcPr>
          <w:p w:rsidR="00A84741" w:rsidRDefault="00A84741" w:rsidP="00A84741">
            <w:pPr>
              <w:pStyle w:val="NormalWeb1"/>
              <w:ind w:righ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Demais parâmetros estabelecidos na Resolução CONAMA 357 (padrões de emissão) </w:t>
            </w:r>
          </w:p>
        </w:tc>
      </w:tr>
    </w:tbl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auto"/>
          <w:sz w:val="24"/>
        </w:rPr>
        <w:t>§1º</w:t>
      </w:r>
      <w:r>
        <w:rPr>
          <w:rFonts w:ascii="Arial" w:hAnsi="Arial"/>
          <w:sz w:val="24"/>
        </w:rPr>
        <w:t xml:space="preserve"> – O produtor de água de reúso para fins urbanos pode solicitar às autoridades sanitárias e ambientais a alteração na freqüência mínima de amostragem de determinados parâmetros estabelecidos nessa resolução, apresentando justificativas embasadas no histórico de qualidade da água de reúso.</w:t>
      </w:r>
    </w:p>
    <w:p w:rsidR="00A84741" w:rsidRPr="0027135F" w:rsidRDefault="00A84741" w:rsidP="00A84741">
      <w:pPr>
        <w:pStyle w:val="NormalWeb1"/>
        <w:ind w:right="567" w:firstLine="900"/>
        <w:jc w:val="both"/>
        <w:rPr>
          <w:rFonts w:ascii="Arial" w:hAnsi="Arial"/>
          <w:color w:val="auto"/>
          <w:sz w:val="24"/>
        </w:rPr>
      </w:pPr>
      <w:r w:rsidRPr="0027135F">
        <w:rPr>
          <w:rFonts w:ascii="Arial" w:hAnsi="Arial"/>
          <w:b/>
          <w:color w:val="auto"/>
          <w:sz w:val="24"/>
        </w:rPr>
        <w:t xml:space="preserve">Artigo </w:t>
      </w:r>
      <w:r w:rsidR="00705C5A">
        <w:rPr>
          <w:rFonts w:ascii="Arial" w:hAnsi="Arial"/>
          <w:b/>
          <w:color w:val="auto"/>
          <w:sz w:val="24"/>
        </w:rPr>
        <w:t>9º</w:t>
      </w:r>
      <w:r w:rsidRPr="0027135F">
        <w:rPr>
          <w:rFonts w:ascii="Arial" w:hAnsi="Arial"/>
          <w:color w:val="auto"/>
          <w:sz w:val="24"/>
        </w:rPr>
        <w:t xml:space="preserve"> - Os laudos das análises laboratoriais devem atender a Resolução SMA </w:t>
      </w:r>
      <w:proofErr w:type="gramStart"/>
      <w:r w:rsidRPr="0027135F">
        <w:rPr>
          <w:rFonts w:ascii="Arial" w:hAnsi="Arial"/>
          <w:color w:val="auto"/>
          <w:sz w:val="24"/>
        </w:rPr>
        <w:t>n</w:t>
      </w:r>
      <w:r w:rsidRPr="0027135F">
        <w:rPr>
          <w:rFonts w:ascii="Arial" w:hAnsi="Arial"/>
          <w:color w:val="auto"/>
          <w:sz w:val="24"/>
          <w:vertAlign w:val="superscript"/>
        </w:rPr>
        <w:t>o</w:t>
      </w:r>
      <w:r w:rsidRPr="0027135F">
        <w:rPr>
          <w:rFonts w:ascii="Arial" w:hAnsi="Arial"/>
          <w:color w:val="auto"/>
          <w:sz w:val="24"/>
        </w:rPr>
        <w:t xml:space="preserve"> 37</w:t>
      </w:r>
      <w:proofErr w:type="gramEnd"/>
      <w:r w:rsidRPr="0027135F">
        <w:rPr>
          <w:rFonts w:ascii="Arial" w:hAnsi="Arial"/>
          <w:color w:val="auto"/>
          <w:sz w:val="24"/>
        </w:rPr>
        <w:t>, de 30 de agosto de 2006, que dispõe sobre os requisitos dos laudos analíticos submetidos à apreciação dos órgãos integrantes do Sistema Estadual de Administração da Qualidade Ambiental, Proteção, Controle e Desenvolvimento dos Recursos Naturais (SEAQUA) e estar disponíveis na ETE para consulta das autoridades sanitária e ambiental</w:t>
      </w:r>
      <w:r>
        <w:rPr>
          <w:rFonts w:ascii="Arial" w:hAnsi="Arial"/>
          <w:color w:val="auto"/>
          <w:sz w:val="24"/>
        </w:rPr>
        <w:t xml:space="preserve"> e dos</w:t>
      </w:r>
      <w:r w:rsidRPr="0027135F">
        <w:rPr>
          <w:rFonts w:ascii="Arial" w:hAnsi="Arial"/>
          <w:color w:val="auto"/>
          <w:sz w:val="24"/>
        </w:rPr>
        <w:t xml:space="preserve"> usuários do produto. 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Artigo </w:t>
      </w:r>
      <w:r w:rsidR="00705C5A">
        <w:rPr>
          <w:rFonts w:ascii="Arial" w:hAnsi="Arial"/>
          <w:b/>
          <w:sz w:val="24"/>
        </w:rPr>
        <w:t>10</w:t>
      </w:r>
      <w:r>
        <w:rPr>
          <w:rFonts w:ascii="Arial" w:hAnsi="Arial"/>
          <w:sz w:val="24"/>
        </w:rPr>
        <w:t xml:space="preserve"> - O produtor de água de reúso para fins urbanos deve também manter sempre disponível para consulta das autoridades sanitária e ambiental informações quanto ao volume diário e mensal produzido e distribuído, destino do produto, procedimentos adotados para garantia de qualidade e medidas de proteção da saúde dos funcionários envolvidos na produção, </w:t>
      </w:r>
      <w:r w:rsidR="0036506D">
        <w:rPr>
          <w:rFonts w:ascii="Arial" w:hAnsi="Arial"/>
          <w:sz w:val="24"/>
        </w:rPr>
        <w:t>distribuição e utilização.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Artigo 1</w:t>
      </w:r>
      <w:r w:rsidR="00705C5A"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 xml:space="preserve"> - Os dutos, reservatórios, veículos e demais equipamentos envolvidos na produção, distribuição e utilização de água de reúso para fins </w:t>
      </w:r>
      <w:r>
        <w:rPr>
          <w:rFonts w:ascii="Arial" w:hAnsi="Arial"/>
          <w:sz w:val="24"/>
        </w:rPr>
        <w:lastRenderedPageBreak/>
        <w:t>urbanos devem ser exclusivos para a atividade, estanques, devidamente identificados e projetados de forma a evitar contaminação.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Artigo 1</w:t>
      </w:r>
      <w:r w:rsidR="00705C5A"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 - Os trabalhadores envolvidos na produção, distribuição e utilização de água de reúso para fins urbanos devem estar devidamente protegidos para que não se exponham, por contato direto ou indireto, bem como devidamente orientados e capacitados para o uso correto do produto.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Artigo 1</w:t>
      </w:r>
      <w:r w:rsidR="00705C5A"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 xml:space="preserve"> - O produtor deve informar e orientar o distribuidor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e o usuário de água de reuso para fins urbanos quanto aos cuidados, restrições e riscos envolvidos na utilização do produto, assim como adotar medidas para evitar procedimentos inadequados que impliquem em riscos à saúde. 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auto"/>
          <w:sz w:val="24"/>
        </w:rPr>
        <w:t xml:space="preserve">§ único </w:t>
      </w:r>
      <w:r>
        <w:rPr>
          <w:rFonts w:ascii="Arial" w:hAnsi="Arial"/>
          <w:color w:val="auto"/>
          <w:sz w:val="24"/>
        </w:rPr>
        <w:t xml:space="preserve">O usuário de </w:t>
      </w:r>
      <w:r w:rsidRPr="00233048">
        <w:rPr>
          <w:rFonts w:ascii="Arial" w:hAnsi="Arial"/>
          <w:color w:val="auto"/>
          <w:sz w:val="24"/>
        </w:rPr>
        <w:t>água de reúso para fins urbanos</w:t>
      </w:r>
      <w:r>
        <w:rPr>
          <w:rFonts w:ascii="Arial" w:hAnsi="Arial"/>
          <w:sz w:val="24"/>
        </w:rPr>
        <w:t xml:space="preserve"> deve adotar procedimentos diferenciados para evitar contaminação de alimentos e água potável porventura expostos próximos aos locais de aplicação do produto.</w:t>
      </w:r>
    </w:p>
    <w:p w:rsidR="00A84741" w:rsidRDefault="00A84741" w:rsidP="00A84741">
      <w:pPr>
        <w:pStyle w:val="NormalWeb1"/>
        <w:ind w:right="567" w:firstLine="9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Artigo 1</w:t>
      </w:r>
      <w:r w:rsidR="00705C5A">
        <w:rPr>
          <w:rFonts w:ascii="Arial" w:hAnsi="Arial"/>
          <w:b/>
          <w:sz w:val="24"/>
        </w:rPr>
        <w:t>4</w:t>
      </w:r>
      <w:r>
        <w:rPr>
          <w:rFonts w:ascii="Arial" w:hAnsi="Arial"/>
          <w:sz w:val="24"/>
        </w:rPr>
        <w:t xml:space="preserve"> - O descumprimento ao disposto nesta Resolução ou a adoção de qualquer procedimento envolvendo a produção, distribuição e utilização de água de reúso para fins urbanos que resultem em riscos à saúde ou ao meio ambiente sujeitam os responsáveis às penalidades previstas nas legislações sanitária e ambiental.</w:t>
      </w:r>
    </w:p>
    <w:p w:rsidR="00984EFA" w:rsidRDefault="00A84741" w:rsidP="00A84741">
      <w:pPr>
        <w:pStyle w:val="NormalWeb1"/>
        <w:ind w:right="567" w:firstLine="900"/>
        <w:jc w:val="both"/>
      </w:pPr>
      <w:r>
        <w:rPr>
          <w:rFonts w:ascii="Arial" w:hAnsi="Arial"/>
          <w:b/>
          <w:sz w:val="24"/>
        </w:rPr>
        <w:t>Artigo 1</w:t>
      </w:r>
      <w:r w:rsidR="00705C5A"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 xml:space="preserve"> - Esta Resolução entrará em vigor na data de sua publicação.</w:t>
      </w:r>
    </w:p>
    <w:sectPr w:rsidR="00984EFA" w:rsidSect="00705C5A">
      <w:pgSz w:w="12240" w:h="15840"/>
      <w:pgMar w:top="1276" w:right="11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692"/>
    <w:multiLevelType w:val="hybridMultilevel"/>
    <w:tmpl w:val="EB04B782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trackRevisions/>
  <w:defaultTabStop w:val="708"/>
  <w:hyphenationZone w:val="425"/>
  <w:characterSpacingControl w:val="doNotCompress"/>
  <w:compat/>
  <w:rsids>
    <w:rsidRoot w:val="00A84741"/>
    <w:rsid w:val="002C1672"/>
    <w:rsid w:val="00323174"/>
    <w:rsid w:val="0036506D"/>
    <w:rsid w:val="006510C4"/>
    <w:rsid w:val="00705C5A"/>
    <w:rsid w:val="00984EFA"/>
    <w:rsid w:val="009C0E3E"/>
    <w:rsid w:val="009C25DE"/>
    <w:rsid w:val="00A84741"/>
    <w:rsid w:val="00AD277B"/>
    <w:rsid w:val="00BD2A40"/>
    <w:rsid w:val="00C03B69"/>
    <w:rsid w:val="00D3316F"/>
    <w:rsid w:val="00D33BC6"/>
    <w:rsid w:val="00ED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4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84741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har"/>
    <w:qFormat/>
    <w:rsid w:val="00A84741"/>
    <w:pPr>
      <w:keepNext/>
      <w:jc w:val="center"/>
      <w:outlineLvl w:val="1"/>
    </w:pPr>
    <w:rPr>
      <w:rFonts w:ascii="Arial" w:hAnsi="Arial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4741"/>
    <w:rPr>
      <w:rFonts w:ascii="Arial" w:eastAsia="Times New Roman" w:hAnsi="Arial" w:cs="Times New Roman"/>
      <w:b/>
      <w:i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84741"/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84741"/>
    <w:pPr>
      <w:ind w:left="37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84741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84741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A8474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Web1">
    <w:name w:val="Normal (Web)1"/>
    <w:basedOn w:val="Normal"/>
    <w:rsid w:val="00A84741"/>
    <w:pPr>
      <w:spacing w:before="100" w:beforeAutospacing="1" w:after="100" w:afterAutospacing="1"/>
    </w:pPr>
    <w:rPr>
      <w:rFonts w:ascii="Tahoma" w:eastAsia="Arial Unicode MS" w:hAnsi="Tahom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da Saude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lvalentim</dc:creator>
  <cp:lastModifiedBy>rjunior</cp:lastModifiedBy>
  <cp:revision>2</cp:revision>
  <cp:lastPrinted>2012-07-18T18:32:00Z</cp:lastPrinted>
  <dcterms:created xsi:type="dcterms:W3CDTF">2012-07-18T18:33:00Z</dcterms:created>
  <dcterms:modified xsi:type="dcterms:W3CDTF">2012-07-18T18:33:00Z</dcterms:modified>
</cp:coreProperties>
</file>