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ttf" ContentType="application/x-font-ttf"/>
  <Default Extension="xml" ContentType="application/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customXML/itemProps1.xml" ContentType="application/vnd.openxmlformats-officedocument.customXmlProperties+xml"/>
  <Override PartName="/customXML/item1.xml" ContentType="application/xml"/>
  <Override PartName="/docProps/custom.xml" ContentType="application/vnd.openxmlformats-officedocument.custom-properties+xml"/>
  <Override PartName="/docProps/core.xml" ContentType="application/vnd.openxmlformats-package.core-properties+xml"/>
  <Override PartName="/word/document.xml" ContentType="application/vnd.openxmlformats-officedocument.wordprocessingml.document.main+xml"/>
  <Override PartName="/word/theme/theme1.xml" ContentType="application/vnd.openxmlformats-officedocument.theme+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tabs>
          <w:tab w:val="left" w:leader="none" w:pos="3433"/>
        </w:tabs>
        <w:ind w:hanging="2500"/>
        <w:jc w:val="center"/>
        <w:rPr/>
      </w:pPr>
      <w:r w:rsidDel="00000000" w:rsidR="00000000" w:rsidRPr="00000000">
        <w:rPr>
          <w:rtl w:val="0"/>
        </w:rPr>
        <w:t xml:space="preserve">RESUMO EXECUTIVO DA ATA</w:t>
      </w:r>
    </w:p>
    <w:p w:rsidR="00000000" w:rsidDel="00000000" w:rsidP="00000000" w:rsidRDefault="00000000" w:rsidRPr="00000000" w14:paraId="00000002">
      <w:pPr>
        <w:pStyle w:val="Title"/>
        <w:tabs>
          <w:tab w:val="left" w:leader="none" w:pos="3433"/>
        </w:tabs>
        <w:spacing w:after="480" w:lineRule="auto"/>
        <w:ind w:hanging="2500"/>
        <w:jc w:val="center"/>
        <w:rPr/>
      </w:pPr>
      <w:r w:rsidDel="00000000" w:rsidR="00000000" w:rsidRPr="00000000">
        <w:rPr>
          <w:rtl w:val="0"/>
        </w:rPr>
        <w:t xml:space="preserve">74ª REUNIÃO PLENÁRIA DO CBH-BS - ORDINÁRIA</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08"/>
        </w:tabs>
        <w:spacing w:after="0" w:before="0" w:line="240" w:lineRule="auto"/>
        <w:ind w:left="708"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Data:</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28 de agosto de 2025 </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08"/>
        </w:tabs>
        <w:spacing w:after="0" w:before="132" w:line="240" w:lineRule="auto"/>
        <w:ind w:left="708"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Horário: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14:30</w:t>
      </w:r>
    </w:p>
    <w:p w:rsidR="00000000" w:rsidDel="00000000" w:rsidP="00000000" w:rsidRDefault="00000000" w:rsidRPr="00000000" w14:paraId="00000005">
      <w:pPr>
        <w:tabs>
          <w:tab w:val="left" w:leader="none" w:pos="708"/>
        </w:tabs>
        <w:spacing w:before="118" w:lineRule="auto"/>
        <w:jc w:val="both"/>
        <w:rPr/>
      </w:pPr>
      <w:bookmarkStart w:colFirst="0" w:colLast="0" w:name="_heading=h.juchjmk5sy11" w:id="0"/>
      <w:bookmarkEnd w:id="0"/>
      <w:r w:rsidDel="00000000" w:rsidR="00000000" w:rsidRPr="00000000">
        <w:rPr>
          <w:rFonts w:ascii="Arial" w:cs="Arial" w:eastAsia="Arial" w:hAnsi="Arial"/>
          <w:b w:val="1"/>
          <w:bCs w:val="1"/>
          <w:rtl w:val="0"/>
        </w:rPr>
        <w:tab/>
        <w:t xml:space="preserve">Local</w:t>
      </w:r>
      <w:r w:rsidDel="00000000" w:rsidR="00000000" w:rsidRPr="00000000">
        <w:rPr>
          <w:rtl w:val="0"/>
        </w:rPr>
        <w:t xml:space="preserve">:  Centro Cultural Raul Cortez – SEDUC  </w:t>
      </w:r>
    </w:p>
    <w:p w:rsidR="00000000" w:rsidDel="00000000" w:rsidP="00000000" w:rsidRDefault="00000000" w:rsidRPr="00000000" w14:paraId="00000006">
      <w:pPr>
        <w:tabs>
          <w:tab w:val="left" w:leader="none" w:pos="708"/>
        </w:tabs>
        <w:spacing w:after="360" w:before="118" w:lineRule="auto"/>
        <w:jc w:val="both"/>
        <w:rPr/>
      </w:pPr>
      <w:r w:rsidDel="00000000" w:rsidR="00000000" w:rsidRPr="00000000">
        <w:rPr>
          <w:rtl w:val="0"/>
        </w:rPr>
        <w:tab/>
        <w:t xml:space="preserve">Avenida São Paulo, 3.324, 3º andar Mongaguá -SP</w:t>
      </w:r>
    </w:p>
    <w:p w:rsidR="00000000" w:rsidDel="00000000" w:rsidP="00000000" w:rsidRDefault="00000000" w:rsidRPr="00000000" w14:paraId="00000007">
      <w:pPr>
        <w:pStyle w:val="Heading1"/>
        <w:tabs>
          <w:tab w:val="left" w:leader="none" w:pos="708"/>
        </w:tabs>
        <w:spacing w:after="360" w:lineRule="auto"/>
        <w:ind w:left="238" w:firstLine="0"/>
        <w:rPr>
          <w:sz w:val="24"/>
          <w:szCs w:val="24"/>
        </w:rPr>
      </w:pPr>
      <w:r w:rsidDel="00000000" w:rsidR="00000000" w:rsidRPr="00000000">
        <w:rPr>
          <w:rtl w:val="0"/>
        </w:rPr>
        <w:tab/>
      </w:r>
      <w:r w:rsidDel="00000000" w:rsidR="00000000" w:rsidRPr="00000000">
        <w:rPr>
          <w:sz w:val="24"/>
          <w:szCs w:val="24"/>
          <w:rtl w:val="0"/>
        </w:rPr>
        <w:t xml:space="preserve">Representantes do Comitê presentes na reunião:</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08"/>
        </w:tabs>
        <w:spacing w:after="0" w:before="0" w:line="240" w:lineRule="auto"/>
        <w:ind w:left="708" w:right="0" w:firstLine="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Segmento Estado</w:t>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992542</wp:posOffset>
                </wp:positionH>
                <wp:positionV relativeFrom="paragraph">
                  <wp:posOffset>-17202</wp:posOffset>
                </wp:positionV>
                <wp:extent cx="50800" cy="47625"/>
                <wp:effectExtent b="0" l="0" r="0" t="0"/>
                <wp:wrapNone/>
                <wp:docPr id="19" name=""/>
                <a:graphic>
                  <a:graphicData uri="http://schemas.microsoft.com/office/word/2010/wordprocessingShape">
                    <wps:wsp>
                      <wps:cNvSpPr/>
                      <wps:cNvPr id="3" name="Shape 3"/>
                      <wps:spPr>
                        <a:xfrm>
                          <a:off x="5325363" y="3760950"/>
                          <a:ext cx="41275" cy="38100"/>
                        </a:xfrm>
                        <a:custGeom>
                          <a:rect b="b" l="l" r="r" t="t"/>
                          <a:pathLst>
                            <a:path extrusionOk="0" h="38100" w="41275">
                              <a:moveTo>
                                <a:pt x="2187" y="31750"/>
                              </a:moveTo>
                              <a:lnTo>
                                <a:pt x="538" y="31750"/>
                              </a:lnTo>
                              <a:lnTo>
                                <a:pt x="6756" y="37846"/>
                              </a:lnTo>
                              <a:lnTo>
                                <a:pt x="7645" y="37084"/>
                              </a:lnTo>
                              <a:lnTo>
                                <a:pt x="2187" y="31750"/>
                              </a:lnTo>
                              <a:close/>
                            </a:path>
                            <a:path extrusionOk="0" h="38100" w="41275">
                              <a:moveTo>
                                <a:pt x="1676" y="30225"/>
                              </a:moveTo>
                              <a:lnTo>
                                <a:pt x="0" y="31750"/>
                              </a:lnTo>
                              <a:lnTo>
                                <a:pt x="2320" y="31750"/>
                              </a:lnTo>
                              <a:lnTo>
                                <a:pt x="9423" y="35178"/>
                              </a:lnTo>
                              <a:lnTo>
                                <a:pt x="10185" y="34417"/>
                              </a:lnTo>
                              <a:lnTo>
                                <a:pt x="9884" y="33782"/>
                              </a:lnTo>
                              <a:lnTo>
                                <a:pt x="8915" y="33782"/>
                              </a:lnTo>
                              <a:lnTo>
                                <a:pt x="8661" y="33654"/>
                              </a:lnTo>
                              <a:lnTo>
                                <a:pt x="8492" y="33654"/>
                              </a:lnTo>
                              <a:lnTo>
                                <a:pt x="7645" y="33147"/>
                              </a:lnTo>
                              <a:lnTo>
                                <a:pt x="1676" y="30225"/>
                              </a:lnTo>
                              <a:close/>
                            </a:path>
                            <a:path extrusionOk="0" h="38100" w="41275">
                              <a:moveTo>
                                <a:pt x="6502" y="25273"/>
                              </a:moveTo>
                              <a:lnTo>
                                <a:pt x="5359" y="26416"/>
                              </a:lnTo>
                              <a:lnTo>
                                <a:pt x="8280" y="32512"/>
                              </a:lnTo>
                              <a:lnTo>
                                <a:pt x="8851" y="33654"/>
                              </a:lnTo>
                              <a:lnTo>
                                <a:pt x="8915" y="33782"/>
                              </a:lnTo>
                              <a:lnTo>
                                <a:pt x="9884" y="33782"/>
                              </a:lnTo>
                              <a:lnTo>
                                <a:pt x="6756" y="27177"/>
                              </a:lnTo>
                              <a:lnTo>
                                <a:pt x="8370" y="27177"/>
                              </a:lnTo>
                              <a:lnTo>
                                <a:pt x="6502" y="25273"/>
                              </a:lnTo>
                              <a:close/>
                            </a:path>
                            <a:path extrusionOk="0" h="38100" w="41275">
                              <a:moveTo>
                                <a:pt x="8370" y="27177"/>
                              </a:moveTo>
                              <a:lnTo>
                                <a:pt x="6756" y="27177"/>
                              </a:lnTo>
                              <a:lnTo>
                                <a:pt x="12090" y="32512"/>
                              </a:lnTo>
                              <a:lnTo>
                                <a:pt x="12852" y="31750"/>
                              </a:lnTo>
                              <a:lnTo>
                                <a:pt x="8370" y="27177"/>
                              </a:lnTo>
                              <a:close/>
                            </a:path>
                            <a:path extrusionOk="0" h="38100" w="41275">
                              <a:moveTo>
                                <a:pt x="8534" y="23241"/>
                              </a:moveTo>
                              <a:lnTo>
                                <a:pt x="7645" y="24129"/>
                              </a:lnTo>
                              <a:lnTo>
                                <a:pt x="14122" y="30479"/>
                              </a:lnTo>
                              <a:lnTo>
                                <a:pt x="15011" y="29718"/>
                              </a:lnTo>
                              <a:lnTo>
                                <a:pt x="8534" y="23241"/>
                              </a:lnTo>
                              <a:close/>
                            </a:path>
                            <a:path extrusionOk="0" h="38100" w="41275">
                              <a:moveTo>
                                <a:pt x="10185" y="21590"/>
                              </a:moveTo>
                              <a:lnTo>
                                <a:pt x="9296" y="22478"/>
                              </a:lnTo>
                              <a:lnTo>
                                <a:pt x="15773" y="28828"/>
                              </a:lnTo>
                              <a:lnTo>
                                <a:pt x="16535" y="28067"/>
                              </a:lnTo>
                              <a:lnTo>
                                <a:pt x="11582" y="22987"/>
                              </a:lnTo>
                              <a:lnTo>
                                <a:pt x="17277" y="22987"/>
                              </a:lnTo>
                              <a:lnTo>
                                <a:pt x="10185" y="21590"/>
                              </a:lnTo>
                              <a:close/>
                            </a:path>
                            <a:path extrusionOk="0" h="38100" w="41275">
                              <a:moveTo>
                                <a:pt x="17277" y="22987"/>
                              </a:moveTo>
                              <a:lnTo>
                                <a:pt x="11582" y="22987"/>
                              </a:lnTo>
                              <a:lnTo>
                                <a:pt x="19964" y="24638"/>
                              </a:lnTo>
                              <a:lnTo>
                                <a:pt x="20853" y="23875"/>
                              </a:lnTo>
                              <a:lnTo>
                                <a:pt x="20218" y="23241"/>
                              </a:lnTo>
                              <a:lnTo>
                                <a:pt x="18567" y="23241"/>
                              </a:lnTo>
                              <a:lnTo>
                                <a:pt x="17277" y="22987"/>
                              </a:lnTo>
                              <a:close/>
                            </a:path>
                            <a:path extrusionOk="0" h="38100" w="41275">
                              <a:moveTo>
                                <a:pt x="14376" y="17399"/>
                              </a:moveTo>
                              <a:lnTo>
                                <a:pt x="13614" y="18161"/>
                              </a:lnTo>
                              <a:lnTo>
                                <a:pt x="18567" y="23241"/>
                              </a:lnTo>
                              <a:lnTo>
                                <a:pt x="20218" y="23241"/>
                              </a:lnTo>
                              <a:lnTo>
                                <a:pt x="14376" y="17399"/>
                              </a:lnTo>
                              <a:close/>
                            </a:path>
                            <a:path extrusionOk="0" h="38100" w="41275">
                              <a:moveTo>
                                <a:pt x="17424" y="14350"/>
                              </a:moveTo>
                              <a:lnTo>
                                <a:pt x="22631" y="20574"/>
                              </a:lnTo>
                              <a:lnTo>
                                <a:pt x="23456" y="20574"/>
                              </a:lnTo>
                              <a:lnTo>
                                <a:pt x="24409" y="20193"/>
                              </a:lnTo>
                              <a:lnTo>
                                <a:pt x="25044" y="19812"/>
                              </a:lnTo>
                              <a:lnTo>
                                <a:pt x="25520" y="19431"/>
                              </a:lnTo>
                              <a:lnTo>
                                <a:pt x="23266" y="19431"/>
                              </a:lnTo>
                              <a:lnTo>
                                <a:pt x="22885" y="19303"/>
                              </a:lnTo>
                              <a:lnTo>
                                <a:pt x="22462" y="19303"/>
                              </a:lnTo>
                              <a:lnTo>
                                <a:pt x="21615" y="18669"/>
                              </a:lnTo>
                              <a:lnTo>
                                <a:pt x="17424" y="14350"/>
                              </a:lnTo>
                              <a:close/>
                            </a:path>
                            <a:path extrusionOk="0" h="38100" w="41275">
                              <a:moveTo>
                                <a:pt x="21615" y="10160"/>
                              </a:moveTo>
                              <a:lnTo>
                                <a:pt x="20726" y="11049"/>
                              </a:lnTo>
                              <a:lnTo>
                                <a:pt x="25298" y="15621"/>
                              </a:lnTo>
                              <a:lnTo>
                                <a:pt x="25603" y="16128"/>
                              </a:lnTo>
                              <a:lnTo>
                                <a:pt x="25679" y="17399"/>
                              </a:lnTo>
                              <a:lnTo>
                                <a:pt x="25298" y="18161"/>
                              </a:lnTo>
                              <a:lnTo>
                                <a:pt x="25171" y="18161"/>
                              </a:lnTo>
                              <a:lnTo>
                                <a:pt x="24790" y="18669"/>
                              </a:lnTo>
                              <a:lnTo>
                                <a:pt x="23837" y="19303"/>
                              </a:lnTo>
                              <a:lnTo>
                                <a:pt x="23647" y="19303"/>
                              </a:lnTo>
                              <a:lnTo>
                                <a:pt x="23266" y="19431"/>
                              </a:lnTo>
                              <a:lnTo>
                                <a:pt x="25520" y="19431"/>
                              </a:lnTo>
                              <a:lnTo>
                                <a:pt x="25679" y="19303"/>
                              </a:lnTo>
                              <a:lnTo>
                                <a:pt x="26187" y="18669"/>
                              </a:lnTo>
                              <a:lnTo>
                                <a:pt x="26492" y="18161"/>
                              </a:lnTo>
                              <a:lnTo>
                                <a:pt x="26822" y="17399"/>
                              </a:lnTo>
                              <a:lnTo>
                                <a:pt x="26822" y="16128"/>
                              </a:lnTo>
                              <a:lnTo>
                                <a:pt x="26568" y="15621"/>
                              </a:lnTo>
                              <a:lnTo>
                                <a:pt x="26473" y="15240"/>
                              </a:lnTo>
                              <a:lnTo>
                                <a:pt x="25298" y="13843"/>
                              </a:lnTo>
                              <a:lnTo>
                                <a:pt x="21615" y="10160"/>
                              </a:lnTo>
                              <a:close/>
                            </a:path>
                            <a:path extrusionOk="0" h="38100" w="41275">
                              <a:moveTo>
                                <a:pt x="27838" y="7239"/>
                              </a:moveTo>
                              <a:lnTo>
                                <a:pt x="26060" y="7239"/>
                              </a:lnTo>
                              <a:lnTo>
                                <a:pt x="31775" y="12826"/>
                              </a:lnTo>
                              <a:lnTo>
                                <a:pt x="32664" y="12065"/>
                              </a:lnTo>
                              <a:lnTo>
                                <a:pt x="27838" y="7239"/>
                              </a:lnTo>
                              <a:close/>
                            </a:path>
                            <a:path extrusionOk="0" h="38100" w="41275">
                              <a:moveTo>
                                <a:pt x="31775" y="0"/>
                              </a:moveTo>
                              <a:lnTo>
                                <a:pt x="30886" y="889"/>
                              </a:lnTo>
                              <a:lnTo>
                                <a:pt x="34823" y="9778"/>
                              </a:lnTo>
                              <a:lnTo>
                                <a:pt x="35712" y="8890"/>
                              </a:lnTo>
                              <a:lnTo>
                                <a:pt x="34502" y="6350"/>
                              </a:lnTo>
                              <a:lnTo>
                                <a:pt x="34315" y="6350"/>
                              </a:lnTo>
                              <a:lnTo>
                                <a:pt x="35331" y="5334"/>
                              </a:lnTo>
                              <a:lnTo>
                                <a:pt x="34061" y="5334"/>
                              </a:lnTo>
                              <a:lnTo>
                                <a:pt x="32918" y="2794"/>
                              </a:lnTo>
                              <a:lnTo>
                                <a:pt x="32537" y="2159"/>
                              </a:lnTo>
                              <a:lnTo>
                                <a:pt x="32283" y="1650"/>
                              </a:lnTo>
                              <a:lnTo>
                                <a:pt x="32156" y="1397"/>
                              </a:lnTo>
                              <a:lnTo>
                                <a:pt x="32029" y="1143"/>
                              </a:lnTo>
                              <a:lnTo>
                                <a:pt x="34480" y="1143"/>
                              </a:lnTo>
                              <a:lnTo>
                                <a:pt x="31775" y="0"/>
                              </a:lnTo>
                              <a:close/>
                            </a:path>
                            <a:path extrusionOk="0" h="38100" w="41275">
                              <a:moveTo>
                                <a:pt x="28346" y="3428"/>
                              </a:moveTo>
                              <a:lnTo>
                                <a:pt x="23266" y="8509"/>
                              </a:lnTo>
                              <a:lnTo>
                                <a:pt x="24028" y="9271"/>
                              </a:lnTo>
                              <a:lnTo>
                                <a:pt x="26060" y="7239"/>
                              </a:lnTo>
                              <a:lnTo>
                                <a:pt x="27838" y="7239"/>
                              </a:lnTo>
                              <a:lnTo>
                                <a:pt x="26949" y="6350"/>
                              </a:lnTo>
                              <a:lnTo>
                                <a:pt x="29108" y="4191"/>
                              </a:lnTo>
                              <a:lnTo>
                                <a:pt x="28346" y="3428"/>
                              </a:lnTo>
                              <a:close/>
                            </a:path>
                            <a:path extrusionOk="0" h="38100" w="41275">
                              <a:moveTo>
                                <a:pt x="34480" y="1143"/>
                              </a:moveTo>
                              <a:lnTo>
                                <a:pt x="32029" y="1143"/>
                              </a:lnTo>
                              <a:lnTo>
                                <a:pt x="32410" y="1397"/>
                              </a:lnTo>
                              <a:lnTo>
                                <a:pt x="33045" y="1650"/>
                              </a:lnTo>
                              <a:lnTo>
                                <a:pt x="36220" y="3175"/>
                              </a:lnTo>
                              <a:lnTo>
                                <a:pt x="34061" y="5334"/>
                              </a:lnTo>
                              <a:lnTo>
                                <a:pt x="35331" y="5334"/>
                              </a:lnTo>
                              <a:lnTo>
                                <a:pt x="37109" y="3556"/>
                              </a:lnTo>
                              <a:lnTo>
                                <a:pt x="40191" y="3556"/>
                              </a:lnTo>
                              <a:lnTo>
                                <a:pt x="34480" y="1143"/>
                              </a:lnTo>
                              <a:close/>
                            </a:path>
                            <a:path extrusionOk="0" h="38100" w="41275">
                              <a:moveTo>
                                <a:pt x="40191" y="3556"/>
                              </a:moveTo>
                              <a:lnTo>
                                <a:pt x="37109" y="3556"/>
                              </a:lnTo>
                              <a:lnTo>
                                <a:pt x="39903" y="4825"/>
                              </a:lnTo>
                              <a:lnTo>
                                <a:pt x="40792" y="3810"/>
                              </a:lnTo>
                              <a:lnTo>
                                <a:pt x="40191" y="3556"/>
                              </a:lnTo>
                              <a:close/>
                            </a:path>
                          </a:pathLst>
                        </a:custGeom>
                        <a:solidFill>
                          <a:srgbClr val="C0C0C0"/>
                        </a:solidFill>
                        <a:ln>
                          <a:noFill/>
                        </a:ln>
                      </wps:spPr>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column">
                  <wp:posOffset>992542</wp:posOffset>
                </wp:positionH>
                <wp:positionV relativeFrom="paragraph">
                  <wp:posOffset>-17202</wp:posOffset>
                </wp:positionV>
                <wp:extent cx="50800" cy="47625"/>
                <wp:effectExtent b="0" l="0" r="0" t="0"/>
                <wp:wrapNone/>
                <wp:docPr id="1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50800" cy="47625"/>
                        </a:xfrm>
                        <a:prstGeom prst="rect"/>
                        <a:ln/>
                      </pic:spPr>
                    </pic:pic>
                  </a:graphicData>
                </a:graphic>
              </wp:anchor>
            </w:drawing>
          </mc:Fallback>
        </mc:AlternateConten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08"/>
          <w:tab w:val="left" w:leader="none" w:pos="6470"/>
        </w:tabs>
        <w:spacing w:after="0" w:before="168" w:line="240" w:lineRule="auto"/>
        <w:ind w:left="708"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Vivian Marrani de Azevedo Marques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Secretária Executiva -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CETESB</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08"/>
          <w:tab w:val="left" w:leader="none" w:pos="6470"/>
        </w:tabs>
        <w:spacing w:after="0" w:before="11" w:line="240" w:lineRule="auto"/>
        <w:ind w:left="708"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Laura Stela N. Perez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Secretária Executiva Adj. –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SEMIL</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08"/>
          <w:tab w:val="left" w:leader="none" w:pos="6470"/>
        </w:tabs>
        <w:spacing w:after="0" w:before="11" w:line="240" w:lineRule="auto"/>
        <w:ind w:left="708"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Fernanda Peixoto                                      IPT-Inst. Pesq. Tecnológicas</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08"/>
          <w:tab w:val="left" w:leader="none" w:pos="6470"/>
        </w:tabs>
        <w:spacing w:after="360" w:before="11" w:line="240" w:lineRule="auto"/>
        <w:ind w:left="709"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Vinicius Aurélio Constantino                    AGEM</w:t>
      </w:r>
    </w:p>
    <w:p w:rsidR="00000000" w:rsidDel="00000000" w:rsidP="00000000" w:rsidRDefault="00000000" w:rsidRPr="00000000" w14:paraId="0000000D">
      <w:pPr>
        <w:tabs>
          <w:tab w:val="left" w:leader="none" w:pos="708"/>
          <w:tab w:val="left" w:leader="none" w:pos="6470"/>
        </w:tabs>
        <w:spacing w:after="240" w:before="11" w:line="264" w:lineRule="auto"/>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ab/>
        <w:t xml:space="preserve">Segmento Municípios</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08"/>
          <w:tab w:val="left" w:leader="none" w:pos="6470"/>
        </w:tabs>
        <w:spacing w:after="0" w:before="11" w:line="264" w:lineRule="auto"/>
        <w:ind w:left="708"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Alberto Pereira Mourão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Presidente</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P. M. de Praia Grande</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08"/>
          <w:tab w:val="left" w:leader="none" w:pos="6470"/>
        </w:tabs>
        <w:spacing w:after="0" w:before="11" w:line="264" w:lineRule="auto"/>
        <w:ind w:left="708"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Albano Soares Martins                             P. M. Guarujá</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08"/>
          <w:tab w:val="left" w:leader="none" w:pos="6470"/>
        </w:tabs>
        <w:spacing w:after="0" w:before="11" w:line="264" w:lineRule="auto"/>
        <w:ind w:left="708"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Guilherme de Souza Moreira                    P. M. Itanhaém</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08"/>
          <w:tab w:val="left" w:leader="none" w:pos="6470"/>
        </w:tabs>
        <w:spacing w:after="0" w:before="11" w:line="264" w:lineRule="auto"/>
        <w:ind w:left="709"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Fernando Almeida Poyatos                       P. M. Bertioga</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08"/>
          <w:tab w:val="left" w:leader="none" w:pos="6470"/>
        </w:tabs>
        <w:spacing w:after="0" w:before="11" w:line="264" w:lineRule="auto"/>
        <w:ind w:left="709"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Alexandre Brarril Pria                                 P. M. Mongagua</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08"/>
          <w:tab w:val="left" w:leader="none" w:pos="6470"/>
        </w:tabs>
        <w:spacing w:after="0" w:before="11" w:line="264" w:lineRule="auto"/>
        <w:ind w:left="708"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Carlos Rocha Ribeiro                                 P.M. Itariri</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08"/>
          <w:tab w:val="left" w:leader="none" w:pos="6470"/>
        </w:tabs>
        <w:spacing w:after="0" w:before="11" w:line="264" w:lineRule="auto"/>
        <w:ind w:left="708"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Felipe Antonio Colaço                               P.M. Peruíbe</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08"/>
          <w:tab w:val="left" w:leader="none" w:pos="6470"/>
        </w:tabs>
        <w:spacing w:after="360" w:before="11" w:line="264" w:lineRule="auto"/>
        <w:ind w:left="709"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Eduardo Monteiro Ribas                             P.M. Peruíbe</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5" w:line="240" w:lineRule="auto"/>
        <w:ind w:left="1548" w:right="0" w:hanging="839"/>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Segmento Sociedade Civil</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 w:line="240" w:lineRule="auto"/>
        <w:ind w:left="1548" w:right="0" w:hanging="84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Nelson Portéro Junior. </w:t>
        <w:tab/>
        <w:tab/>
        <w:tab/>
        <w:t xml:space="preserve">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Vice-presidente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A.E.A.A.. Bertioga</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 w:line="240" w:lineRule="auto"/>
        <w:ind w:left="1548" w:right="0" w:hanging="84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Pilar Carolina Villar </w:t>
        <w:tab/>
        <w:tab/>
        <w:tab/>
        <w:tab/>
        <w:t xml:space="preserve">  Univ. Fed. São Paulo- UNIFESP </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 w:line="240" w:lineRule="auto"/>
        <w:ind w:left="1548" w:right="0" w:hanging="84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Celso Garagnani </w:t>
        <w:tab/>
        <w:tab/>
        <w:tab/>
        <w:tab/>
        <w:t xml:space="preserve">  AEAC-Assoc. Eng. Arq. Cubatão</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 w:line="240" w:lineRule="auto"/>
        <w:ind w:left="1548" w:right="0" w:hanging="84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Alexandra F. Sampaio e Matheus S. Ruiz  Univ Santa Cecília-UNISANTA</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 w:line="240" w:lineRule="auto"/>
        <w:ind w:left="1548" w:right="0" w:hanging="84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Matheus Souza Rulz </w:t>
        <w:tab/>
        <w:tab/>
        <w:tab/>
        <w:t xml:space="preserve">  Univ Santa Cecília-UNISANTA</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 w:line="240" w:lineRule="auto"/>
        <w:ind w:left="1548" w:right="0" w:hanging="84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Adriana F. Souza e Cleber Ferrão Corrêa Univ. Católica Santos-UNISANTOS</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 w:line="240" w:lineRule="auto"/>
        <w:ind w:left="1548" w:right="0" w:hanging="84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lan Pavani Verderesi </w:t>
        <w:tab/>
        <w:tab/>
        <w:tab/>
        <w:t xml:space="preserve">   AARSL-Ass.Am. Riviera S. Lourenço </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 w:line="240" w:lineRule="auto"/>
        <w:ind w:left="1548" w:right="0" w:hanging="84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Maridel Vicene Polachini Lopes</w:t>
        <w:tab/>
        <w:tab/>
        <w:t xml:space="preserve">   Lixo Zero Baixada Santista</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 w:line="240" w:lineRule="auto"/>
        <w:ind w:left="1548" w:right="0" w:hanging="84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Marcia Trindade Jovito </w:t>
        <w:tab/>
        <w:tab/>
        <w:tab/>
        <w:t xml:space="preserve">  CONCIDADANIA</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 w:line="240" w:lineRule="auto"/>
        <w:ind w:left="1548" w:right="0" w:hanging="839"/>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Ricardo Alexandre Lieutaud</w:t>
        <w:tab/>
        <w:tab/>
        <w:t xml:space="preserve">  FIESP-Fed. das Inds. Est. SP </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480" w:before="15" w:line="240" w:lineRule="auto"/>
        <w:ind w:left="1548" w:right="0" w:hanging="839"/>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Marly Alvarez Cimino </w:t>
        <w:tab/>
        <w:tab/>
        <w:tab/>
        <w:t xml:space="preserve">  AEAS</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240" w:before="15" w:line="240" w:lineRule="auto"/>
        <w:ind w:left="1548" w:right="0" w:hanging="839"/>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Ausências justificadas</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 w:line="240" w:lineRule="auto"/>
        <w:ind w:left="4320" w:right="0" w:hanging="3612"/>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Edelton Chaves Fazenda </w:t>
        <w:tab/>
        <w:tab/>
        <w:t xml:space="preserve">  LBSG </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 w:line="240" w:lineRule="auto"/>
        <w:ind w:left="4320" w:right="0" w:hanging="3612"/>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Erik Sanches</w:t>
        <w:tab/>
        <w:tab/>
        <w:t xml:space="preserve"> CIESP</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 w:line="240" w:lineRule="auto"/>
        <w:ind w:left="4320" w:right="0" w:hanging="3612"/>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Omar de Almeida Cardoso</w:t>
        <w:tab/>
        <w:tab/>
        <w:t xml:space="preserve"> CETESB</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480" w:before="15" w:line="240" w:lineRule="auto"/>
        <w:ind w:left="4321" w:right="0" w:hanging="3612"/>
        <w:jc w:val="left"/>
        <w:rPr>
          <w:rFonts w:ascii="Arial" w:cs="Arial" w:eastAsia="Arial" w:hAnsi="Arial"/>
          <w:b w:val="0"/>
          <w:bCs w:val="0"/>
          <w:i w:val="0"/>
          <w:iCs w:val="0"/>
          <w:smallCaps w:val="0"/>
          <w:strike w:val="0"/>
          <w:color w:val="000000"/>
          <w:sz w:val="28"/>
          <w:szCs w:val="2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Henrique Campelo Torres</w:t>
        <w:tab/>
        <w:tab/>
        <w:t xml:space="preserve"> UNESP</w:t>
      </w:r>
      <w:r w:rsidDel="00000000" w:rsidR="00000000" w:rsidRPr="00000000">
        <w:rPr>
          <w:rtl w:val="0"/>
        </w:rPr>
      </w:r>
    </w:p>
    <w:p w:rsidR="00000000" w:rsidDel="00000000" w:rsidP="00000000" w:rsidRDefault="00000000" w:rsidRPr="00000000" w14:paraId="00000027">
      <w:pPr>
        <w:numPr>
          <w:ilvl w:val="0"/>
          <w:numId w:val="1"/>
        </w:numPr>
        <w:spacing w:line="259" w:lineRule="auto"/>
        <w:ind w:left="0" w:hanging="360"/>
        <w:jc w:val="both"/>
        <w:rPr>
          <w:rFonts w:ascii="Arial" w:cs="Arial" w:eastAsia="Arial" w:hAnsi="Arial"/>
        </w:rPr>
      </w:pPr>
      <w:r w:rsidDel="00000000" w:rsidR="00000000" w:rsidRPr="00000000">
        <w:rPr>
          <w:rFonts w:ascii="Arial" w:cs="Arial" w:eastAsia="Arial" w:hAnsi="Arial"/>
          <w:sz w:val="28"/>
          <w:szCs w:val="28"/>
          <w:rtl w:val="0"/>
        </w:rPr>
        <w:t xml:space="preserve">Aos vinte e oito dias de agosto de 2025, às quatorze horas e trinta minutos, iniciou-se a 74ª Reunião Plenária Ordinária do Comitê da Bacia Hidrográfica da Baixada Santista - CBH-BS, no Centro Cultural Raul Cortez - SEDUC, na Av. São Paulo, 3.324, 3º andar, em Mongaguá - SP. </w:t>
      </w:r>
      <w:r w:rsidDel="00000000" w:rsidR="00000000" w:rsidRPr="00000000">
        <w:rPr>
          <w:rFonts w:ascii="Arial" w:cs="Arial" w:eastAsia="Arial" w:hAnsi="Arial"/>
          <w:b w:val="1"/>
          <w:bCs w:val="1"/>
          <w:sz w:val="28"/>
          <w:szCs w:val="28"/>
          <w:rtl w:val="0"/>
        </w:rPr>
        <w:t xml:space="preserve">01. Abertura. </w:t>
      </w:r>
      <w:r w:rsidDel="00000000" w:rsidR="00000000" w:rsidRPr="00000000">
        <w:rPr>
          <w:rFonts w:ascii="Arial" w:cs="Arial" w:eastAsia="Arial" w:hAnsi="Arial"/>
          <w:sz w:val="28"/>
          <w:szCs w:val="28"/>
          <w:rtl w:val="0"/>
        </w:rPr>
        <w:t xml:space="preserve">O Presidente do CBH-BS e Prefeito de Praia Grande Alberto Pereira Mourão iniciou os trabalhos agradecendo a presença de todos. Enfatizou a importância do Comitê para a bacia e para a região. Paulo V. Filho, representando a P.M. de Mongaguá, saudou as diversas autoridades presentes e enfatizou a importância dos servidores na gestão pública. </w:t>
      </w:r>
      <w:r w:rsidDel="00000000" w:rsidR="00000000" w:rsidRPr="00000000">
        <w:rPr>
          <w:rFonts w:ascii="Arial" w:cs="Arial" w:eastAsia="Arial" w:hAnsi="Arial"/>
          <w:b w:val="1"/>
          <w:bCs w:val="1"/>
          <w:sz w:val="28"/>
          <w:szCs w:val="28"/>
          <w:rtl w:val="0"/>
        </w:rPr>
        <w:t xml:space="preserve">02. Aprovação da Ata da 73ª Reunião do CBH-BS, realizada em 29/05/2025. A Ata foi aprovada por unanimidade. 03. Comunicações.</w:t>
      </w:r>
      <w:r w:rsidDel="00000000" w:rsidR="00000000" w:rsidRPr="00000000">
        <w:rPr>
          <w:rFonts w:ascii="Arial" w:cs="Arial" w:eastAsia="Arial" w:hAnsi="Arial"/>
          <w:sz w:val="28"/>
          <w:szCs w:val="28"/>
          <w:rtl w:val="0"/>
        </w:rPr>
        <w:t xml:space="preserve"> A Secretária Executiva, Vivian Marrani de Azevedo Marques (CETESB) solicitou inclusão na pauta da manifestação do Comitê sobre a constituição da RPPN Sítio Tijucopava, objeto de solicitação por meio do Ofício nº 366/2025-FF-DE/RPPN. A inclusão foi aprovada. O Vice-Presidente Nelson Portéro Junior, representando a entidade da Sociedade Civil Associação dos Engenheiros, Arquitetos e Agrônomos de Bertioga, comunicou a participação do CBH-BS, no 2º Fórum Brasil das Águas em João Pessoa - PB, em maio de 2025,  e que, entre 08 a 13 de setembro, acontecerá o  26º  Encontro Nacional de Comitês de Bacia Hidrográfica-ENCOB, em Vitória,  Espírito Santo, com a participação de 04 (quatro) representantes do CBH-BS. Na sequência a Secretária Executiva realizou uma apresentação sobre a estrutura e o funcionamento do Comitê. Em síntese, contextualizando, a bacia do Comitê está inserida na Unidade de Gerenciamento-UGRHI 7, abrangendo 15 municípios em uma área de drenagem de 2.818.000 km², 162 km de praias e 120 km² de manguezais. Criado pela Lei nº 9.034/1994, revogada e substituída pela Lei 16.337/2016, o CBH-BS iniciou suas atividades no ano de 1994. É um órgão colegiado, de caráter consultivo e deliberativo, de nível regional, que compõe o SIGRH – Sistema Integrado de Gerenciamento de Recursos Hídricos do Estado de São Paulo. Abrange o território total ou parcial dos municípios: Bertioga, Cubatão, Guarujá, Itanhaém, Mongaguá, Peruíbe, Praia Grande, Santos, São Vicente, Biritiba Mirim, Mogi das Cruzes, Santo André, São Bernardo do Campo, São Paulo e Itariri. Dentre as atribuições pode-se destacar promover o gerenciamento dos recursos hídricos de forma descentralizada, participativa e tripartite (Estado, Municípios e Sociedade Civil); reconhecer o recurso hídrico como um bem público, de valor econômico, cuja utilização deve ser cobrada, observados os aspectos de quantidade, qualidade e as peculiaridades da bacia hidrográfica; e Apoiar e promover a implementação das ações decorrentes das políticas estaduais de saneamento, desenvolvimento regional, meio ambiente, saúde e   outras com interfaces com os recursos hídricos. Sua estrutura é composta por uma Diretoria com o Presidente,  Vice-presidente,  Secretárias Executivas (titular e adjunta) e plenário tripartite. Realiza reuniões plenárias e das Câmaras Técnicas-CT: de Planejamento e Gerenciamento (CTPG), de Assuntos Jurídicos e Institucionais (CTAJI), de Saneamento e Usos Múltiplos (CTSUM), e de Educação Ambiental (CTEAD), cujas atribuições estão definidas, conforme Deliberação CBH-BS nº 443/2025. O comitê para atender ao Estatuto aprovado pela Deliberação CBH-BS nº 439/2024, deve realizar no mínimo 2 (duas) plenárias ordinárias por ano, presencial ou virtual, com as convocações mediante envio de edital, com antecedências mínimas de 20 dias para as reuniões ordinárias, e ante quórum qualificado para a sua instalação. Reuniões extraordinárias também podem ser convocadas, desde que, provocadas. As Deliberações são aprovadas em plenária, por maioria simples ou por consenso. Na sequência detalhou a atualização da gestão financeira do Comitê e os recursos financeiros, que apoiam projetos e empreendimentos na bacia. Pelos recursos da Cobrança do uso da água, a Secretaria Executiva recebe até 10% do valor arrecadado, para os custeios do Comitê. Em  fevereiro/2025, R$ 2 milhões foram transferidos para a conta de investimento robustecendo a conta investimento, a qual é destinada para financiamento projetos. Em junho/2025, mais R$ 500.000,00 foram transferidos da conta custeio, para a conta investimento, com mesma finalidade, a de rebustecer essa conta para atendimento a projetos. Detalha-se ainda que na ocasião, a Conta Custeio da Cobrança, cujos valores foram transferidos, no mês de junho de 2025 ficou ainda com R$ 260.272</w:t>
      </w:r>
      <w:r w:rsidDel="00000000" w:rsidR="00000000" w:rsidRPr="00000000">
        <w:rPr>
          <w:rFonts w:ascii="Arial" w:cs="Arial" w:eastAsia="Arial" w:hAnsi="Arial"/>
          <w:b w:val="1"/>
          <w:bCs w:val="1"/>
          <w:sz w:val="28"/>
          <w:szCs w:val="28"/>
          <w:rtl w:val="0"/>
        </w:rPr>
        <w:t xml:space="preserve">,</w:t>
      </w:r>
      <w:r w:rsidDel="00000000" w:rsidR="00000000" w:rsidRPr="00000000">
        <w:rPr>
          <w:rFonts w:ascii="Arial" w:cs="Arial" w:eastAsia="Arial" w:hAnsi="Arial"/>
          <w:sz w:val="28"/>
          <w:szCs w:val="28"/>
          <w:rtl w:val="0"/>
        </w:rPr>
        <w:t xml:space="preserve">94 (duzentos e sessenta mil, duzentos e setenta e dois reais e noventa e quatro centavos), que serão destinados para despesas imediatas e de pronto pagamento do Comitê. Os recursos do Fundo Estadual de Recursos Hídricos–FEHIDRO são de aproximadamente  R$ 82.090.915,36, comforme extrato bancário do mês em epígrafe; desses oitenta e dois milhões, há que se considerar: projetos </w:t>
      </w:r>
      <w:r w:rsidDel="00000000" w:rsidR="00000000" w:rsidRPr="00000000">
        <w:rPr>
          <w:rFonts w:ascii="Arial" w:cs="Arial" w:eastAsia="Arial" w:hAnsi="Arial"/>
          <w:b w:val="1"/>
          <w:bCs w:val="1"/>
          <w:sz w:val="28"/>
          <w:szCs w:val="28"/>
          <w:rtl w:val="0"/>
        </w:rPr>
        <w:t xml:space="preserve">que ainda estão em análise, </w:t>
      </w:r>
      <w:r w:rsidDel="00000000" w:rsidR="00000000" w:rsidRPr="00000000">
        <w:rPr>
          <w:rFonts w:ascii="Arial" w:cs="Arial" w:eastAsia="Arial" w:hAnsi="Arial"/>
          <w:sz w:val="28"/>
          <w:szCs w:val="28"/>
          <w:rtl w:val="0"/>
        </w:rPr>
        <w:t xml:space="preserve"> </w:t>
      </w:r>
      <w:r w:rsidDel="00000000" w:rsidR="00000000" w:rsidRPr="00000000">
        <w:rPr>
          <w:rFonts w:ascii="Arial" w:cs="Arial" w:eastAsia="Arial" w:hAnsi="Arial"/>
          <w:b w:val="1"/>
          <w:bCs w:val="1"/>
          <w:sz w:val="28"/>
          <w:szCs w:val="28"/>
          <w:rtl w:val="0"/>
        </w:rPr>
        <w:t xml:space="preserve">projetos não iniciados</w:t>
      </w:r>
      <w:r w:rsidDel="00000000" w:rsidR="00000000" w:rsidRPr="00000000">
        <w:rPr>
          <w:rFonts w:ascii="Arial" w:cs="Arial" w:eastAsia="Arial" w:hAnsi="Arial"/>
          <w:sz w:val="28"/>
          <w:szCs w:val="28"/>
          <w:rtl w:val="0"/>
        </w:rPr>
        <w:t xml:space="preserve">,  </w:t>
      </w:r>
      <w:r w:rsidDel="00000000" w:rsidR="00000000" w:rsidRPr="00000000">
        <w:rPr>
          <w:rFonts w:ascii="Arial" w:cs="Arial" w:eastAsia="Arial" w:hAnsi="Arial"/>
          <w:b w:val="1"/>
          <w:bCs w:val="1"/>
          <w:sz w:val="28"/>
          <w:szCs w:val="28"/>
          <w:rtl w:val="0"/>
        </w:rPr>
        <w:t xml:space="preserve">e projetos em Execução</w:t>
      </w:r>
      <w:r w:rsidDel="00000000" w:rsidR="00000000" w:rsidRPr="00000000">
        <w:rPr>
          <w:rFonts w:ascii="Arial" w:cs="Arial" w:eastAsia="Arial" w:hAnsi="Arial"/>
          <w:sz w:val="28"/>
          <w:szCs w:val="28"/>
          <w:rtl w:val="0"/>
        </w:rPr>
        <w:t xml:space="preserve">.   Em verdade, os valores que o CBH-BS despende para a aprovação de projetos em 2025, é da monta de R$ 45.394.733,92 -Deliberação CBH-BS nº 447/2025 de 29 de maio de 2005. Em 2025 foram aprovados em 1ª. Chamada , pela Deliberação 448/2025 R$ 14.593.073,32;  Em 2ª Chamada, pela Deliberação 454/2025 R$ 15.804.525,65, perfazendo um total deliberado em 2025 R$ 30.697.598,97. Como o Plano de aplicação dispunha de R$ $ 45.394.733,92, teremos um saldo residual para aplicar em 2026 de R$ 15.497.134,45. Dando prosseguimento à reunião, a Secretária Executiva Adjunta Laura Stela (SEMIL) comunicou que, no início de setembro, ocorrerá o 26º Encontro Nacional de Comitês de Bacias Hidrográficas – ENCOB, com o tema "Emergência Climática, Povos e Territórios, Água é o que nos Une". O financiamento para a participação é permitido para membros dos segmentos Sociedade civil e  Estado, e os participantes deverão apresentar um relatório para o Comitê após o evento. Em 2025 o CBH-BS completará 30 anos e está sendo planejada  a comemoração em uma plenária presencial no dia 09 de dezembro, tendo solicitado a formação de uma Comissão para organizar o evento. Também foi informado que representantes das câmaras técnicas participaram de Oficina para discussão da elaboração do Plano Estadual de Recursos Hídricos e dos Planos de bacias hidrográficas, promovida pela Diretoria de Recursos Hídricos - DRHi da SEMIL, e reunindo os três comitês da Vertente Litorânea. Aventa-se a contratação destes planos de forma conjunta, segundo uma mesma metodologia, e a oficina teve como objetivo  discutir  o processo de elaboração e acompanhamento dos planos vigentes, bem como do que se espera para os novos planos. Complementando o tema, ocorreu a apresentação sobre os resultados da Oficina por Mateus Ruiz (Universidade Santa Cecília - UNISANTA). Em síntese, os representantes dos Comitês de bacia levantaram várias questões, subsidiando a DRHI e a SP Águas para a definição da contratação e para tratar dos Planos, em um processo de construção conjunta que permita a discussão regional e o atendimento das necessidades locais. Numa </w:t>
      </w:r>
      <w:r w:rsidDel="00000000" w:rsidR="00000000" w:rsidRPr="00000000">
        <w:rPr>
          <w:sz w:val="28"/>
          <w:szCs w:val="28"/>
          <w:rtl w:val="0"/>
        </w:rPr>
        <w:t xml:space="preserve">estimativa</w:t>
      </w:r>
      <w:r w:rsidDel="00000000" w:rsidR="00000000" w:rsidRPr="00000000">
        <w:rPr>
          <w:rFonts w:ascii="Arial" w:cs="Arial" w:eastAsia="Arial" w:hAnsi="Arial"/>
          <w:sz w:val="28"/>
          <w:szCs w:val="28"/>
          <w:rtl w:val="0"/>
        </w:rPr>
        <w:t xml:space="preserve"> inicial, o custo está estimado entre R$ 10 e 15 milhões. Explicou que o plano de bacia identifica as necessidades da gestão dos recursos hídricos da região, incluindo diagnóstico, prognóstico, plano de ação e programa de investimentos, sendo que os recursos FEHIDRO são insuficientes para dar conta de todas as demandas necessárias e outras fontes precisam ser identificadas. Detalhou que houve reunião prévia para indicação dos representantes, os quais analisaram o Plano de bacia vigente, identificando pontos positivos, negativos e as áreas de melhoria. Na Oficina, a  DRHI fez uma apresentação com a contextualização, a dinâmica e a nova estrutura de gestão de recursos hídricos no Estado. Na primeira dinâmica, cada Comitê debateu sobre o plano vigente, e dos problemas encontrados, tendo sido destacada a qualidade do Termo de Referência, que deveria ser mais robusto e considerar as especificidades locais, como a componente costeira. Também houve menção sobre a baixa participação dos membros do Comitê na elaboração e implementação do plano. Identificou como acertos, o plano de ação bem estabelecido e estruturado, com um arranjo metodológico eficiente e metas e ações bem definidas, que subsidiam os PAPIs e PDCs. O principal desafio, entretanto, seria o acompanhamento efetivo e contínuo do plano. Descreveu a proposta da DRHI como um modelo integrado para as 22 UGRHIs, abrangendo todos os Planos de bacias e o Plano Estadual de Recursos Hídricos. Indicou que a aprovação dos planos passaria pelos CBHs e pelo CRH. Listou como pontos positivos da proposta a análise e processos integrados, mobilização, participação, efetivação dos instrumentos e maior robustez financeira. Como desafios, equilibrar a integração com a descentralização; considerar as peculiaridades locais e os ritmos distintos dos Comitês; construir uma base comum e intensificar a articulação entre órgãos estaduais, CBHs e executores. Na segunda dinâmica, "O Plano que Queremos", os Comitês identificaram os benefícios da contratação integrada com a padronização e qualidade técnica. Apontaram como pontos negativos a falta de especificidade e a pouca consideração das peculiaridades locais. E elencaram que precisam de um Termo de Referência robusto, participação ativa e efetiva do CBH e um produto que </w:t>
      </w:r>
      <w:r w:rsidDel="00000000" w:rsidR="00000000" w:rsidRPr="00000000">
        <w:rPr>
          <w:sz w:val="28"/>
          <w:szCs w:val="28"/>
          <w:rtl w:val="0"/>
        </w:rPr>
        <w:t xml:space="preserve">reflita</w:t>
      </w:r>
      <w:r w:rsidDel="00000000" w:rsidR="00000000" w:rsidRPr="00000000">
        <w:rPr>
          <w:rFonts w:ascii="Arial" w:cs="Arial" w:eastAsia="Arial" w:hAnsi="Arial"/>
          <w:sz w:val="28"/>
          <w:szCs w:val="28"/>
          <w:rtl w:val="0"/>
        </w:rPr>
        <w:t xml:space="preserve"> as necessidades específicas de cada Comitê, com acompanhamento contínuo. Concluiu a apresentação reiterando a necessidade de garantir que fossem consideradas as particularidades da Baixada Santista e um instrumento de acompanhamento efetivo do plano de ação, independentemente da decisão futura sobre adesão a um plano integrado ou elaboração de plano próprio. Continuando a exposição, Márcia Jovito (Concidadania) mencionou que foi a primeira vez que tiveram acesso à proposta de um Termo de Referência único para facilitar as contratações. Destacou a complexidade do plano de bacia, com seu diagnóstico, prognóstico e plano de ação. Enfatizou a importância de todos os representantes do Comitê analisarem o plano para estabelecer métodos de acompanhamento e o cumprimento do Plano. Concordou com Mateus que o plano estava bem elaborado, mas faltava acompanhamento do atingimento das metas para garantir o melhor uso dos recursos financeiros. Solicitou, também, a participação ativa de todos os representantes do Comitê, pois havia a percepção de baixa participação do poder público e da Sociedade civil nas Oficinas, o que demandava um esforço de mobilização bem como formação e capacitação para assegurar a participação efetiva de todos na elaboração dos Planos. A Secretária Executiva Adjunta complementou, esclarecendo que o objetivo do Plano de bacia é identificar as necessidades da região, no caso a Baixada Santista, para a gestão de recursos hídricos. Com base no diagnóstico elabora um prognóstico, um plano de ação e um programa de investimentos. Até agora, foram realizadas Oficinas com a participação dos Comitês de bacia, e a definição do melhor caminho a seguir ainda está sendo estudada pela DRHI e SP Águas, em um processo que será construído em conjunto com os CBHs para garantir sempre o melhor Plano. A intenção é ter um Plano estadual abrangendo todas as UGRHIs, atendendo às necessidades de cada região, evitando um modelo padronizado ineficaz. As especificidades e regionalidades de cada área serão consideradas. Este é o primeiro, de outros momentos, até a decisão final sobre a elaboração dos Planos, seja individualmente ou em conjunto. A Diretoria está atualmente compatibilizando e consolidando as informações de todas as Oficinas para depois serem apresentadas a todos. O Presidente propôs diálogos amplos com os prefeitos e com a avaliação dos técnicos especializados das prefeituras para elaborarem um documento simplificado, como um guia básico, e solicitou, também, auxílio das Universidades, para depois ser enviado a todos os prefeitos, técnicos e organizações. Um guia para evitar que o entendimento fique limitado ao jargão técnico, tornando a informação acessível a todos. E que as Câmaras técnicas se reúnam, o mais rápido possível, para debater o tema e elaborar o guia. </w:t>
      </w:r>
      <w:r w:rsidDel="00000000" w:rsidR="00000000" w:rsidRPr="00000000">
        <w:rPr>
          <w:rFonts w:ascii="Arial" w:cs="Arial" w:eastAsia="Arial" w:hAnsi="Arial"/>
          <w:b w:val="1"/>
          <w:bCs w:val="1"/>
          <w:sz w:val="28"/>
          <w:szCs w:val="28"/>
          <w:rtl w:val="0"/>
        </w:rPr>
        <w:t xml:space="preserve">04. DELIBERAÇÕES. Deliberação CBH-BS nº 453, de 28 de agosto de 2025 - Aprova a Retificação do Plano de Aplicação dos Recursos Financeiros provenientes da Cobrança pelo Uso dos Recursos Hídricos na Baixada Santista para o exercício de 2025; Deliberação aprovada por unanimidade.</w:t>
      </w:r>
      <w:r w:rsidDel="00000000" w:rsidR="00000000" w:rsidRPr="00000000">
        <w:rPr>
          <w:rFonts w:ascii="Arial" w:cs="Arial" w:eastAsia="Arial" w:hAnsi="Arial"/>
          <w:sz w:val="28"/>
          <w:szCs w:val="28"/>
          <w:rtl w:val="0"/>
        </w:rPr>
        <w:t xml:space="preserve"> A Secretária Adjunta apresentou. Em síntese, na plenária de maio de 2025, o Comitê aprovou a Deliberação  CBH-BS nº 447/2025 que aprova o Plano de Aplicação dos Recursos Financeiros provenientes da Cobrança pelo Uso dos Recursos Hídricos na Baixada Santista para o exercício de 2025. Como a Deliberação CBH-BS nº 450, nesta mesma data aprovou a transferência de R$ 500 mil de custeio para investimento, há necessidade de </w:t>
      </w:r>
      <w:r w:rsidDel="00000000" w:rsidR="00000000" w:rsidRPr="00000000">
        <w:rPr>
          <w:sz w:val="28"/>
          <w:szCs w:val="28"/>
          <w:rtl w:val="0"/>
        </w:rPr>
        <w:t xml:space="preserve">atualização</w:t>
      </w:r>
      <w:r w:rsidDel="00000000" w:rsidR="00000000" w:rsidRPr="00000000">
        <w:rPr>
          <w:rFonts w:ascii="Arial" w:cs="Arial" w:eastAsia="Arial" w:hAnsi="Arial"/>
          <w:sz w:val="28"/>
          <w:szCs w:val="28"/>
          <w:rtl w:val="0"/>
        </w:rPr>
        <w:t xml:space="preserve"> do Plano de Aplicação. A Deliberação ajusta os recursos destinados a investimento e o valor final apurado para investimento com recursos da Cobrança passa a ser de R$ 45.894.733,92. </w:t>
      </w:r>
      <w:r w:rsidDel="00000000" w:rsidR="00000000" w:rsidRPr="00000000">
        <w:rPr>
          <w:rFonts w:ascii="Arial" w:cs="Arial" w:eastAsia="Arial" w:hAnsi="Arial"/>
          <w:b w:val="1"/>
          <w:bCs w:val="1"/>
          <w:sz w:val="28"/>
          <w:szCs w:val="28"/>
          <w:rtl w:val="0"/>
        </w:rPr>
        <w:t xml:space="preserve">05. Deliberação CBH-BS nº 454, de 28 de agosto de 2025 - Aprova a indicação de empreendimentos, em 2ª chamada, para financiamento com recursos do FEHIDRO, oriundos da Cobrança e CFURH no ano de 2025; Deliberação aprovada por unanimidade.</w:t>
      </w:r>
      <w:r w:rsidDel="00000000" w:rsidR="00000000" w:rsidRPr="00000000">
        <w:rPr>
          <w:rFonts w:ascii="Arial" w:cs="Arial" w:eastAsia="Arial" w:hAnsi="Arial"/>
          <w:sz w:val="28"/>
          <w:szCs w:val="28"/>
          <w:rtl w:val="0"/>
        </w:rPr>
        <w:t xml:space="preserve"> A Secretária Adjunta esclareceu que a segunda chamada ocorreu entre 30 de maio e 30 de junho. Foram recebidas 12  propostas, avaliadas nas reuniões da Câmara Técnica de Planejamento e Gerenciamento, conjuntamente com as Câmaras Técnicas de Saneamento e Usos Múltiplos e a de Educação Ambiental, para serem pontuadas e classificadas. O processo resultou, conforme consta nos Anexos da Deliberação, em seis propostas habilitadas e seis inabilitadas. No balanço final, os  recursos totais destinados a investimento em 2025 somaram aproximadamente R$ 45.894 milhões de recursos da cobrança e R$ 1,356 milhão da fonte CFURH. Após as indicações, há um saldo de R$ 356.327,29 da CFURH, que retorna ao FEHIDRO. Aberta a palavra para a participação da plenária, Celso Garagnani solicitou que o Comitê refletisse sobre o fato de que a avaliação e a participação no Comitê são realizadas com uma dedicação voluntária para melhoria do uso da água na região. Que a distribuição dos recursos não pode ter quantias sem utilização, mas isso acontece pelos processos e editais rígidos demais, que criam obstáculos e não priorizam as necessidades reais da bacia. A permanecer assim, apenas as Prefeituras mais estruturadas conseguem acessar os recursos. O Presidente concordou com a necessidade de enfrentar esses desafios para a gestão. Destacou que são valores expressivos, mas a utilização total esbarrava em burocracias, mencionando que a sua solicitação de acesso aos projetos em andamento, resultou em um Relatório de pouca compreensão, onde projetos foram aprovados, mas atrasam na contratação, são R$ 17 milhões para projetos aprovados anteriormente, mas que ainda estão pendentes. Que municípios menores enfrentam dificuldades para contratar profissionais qualificados. Mas os Prefeitos continuam sofrendo grande pressão. Assim, criticou a burocracia financeira que, enriquece os banqueiros, com as vinculações excessivas de contas. Propôs menos burocracia, que os técnicos de licenciamento tenham uma compreensão mais ampla do contexto das situações, com mais dedicação e uma visão abrangente. Disse sobre sua preocupação com a demora na conclusão dos Planos, como o de macrodrenagem de Guarujá e, finalizou solicitando à Secretaria Executiva que encaminhe uma determinação para que as Câmaras técnicas se reúnam para resolver o problema, e se ofereceu para convocar uma reunião antecipada para encontrar as soluções imediatas. No mesmo sentido, o Prefeito Carlos Rocha Ribeiro (P.M. de Itariri) solicitou registro nesta Ata, que o Plano de macrodrenagem de Itariri não foi aprovado. Solicitou a inserção de uma parte do território de Itariri no plano de macrodrenagem da Baixada Santista, uma vez que o município é fortemente impactado por chuvas e enchentes. Mencionou a proximidade com Peruíbe como um fator que agrava a situação, resultando em situações de vulnerabilidade em Itariri. O Presidente confirmou que, no momento, o projeto de drenagem de Itariri não foi incluído no Plano da Baixada Santista para receber recursos imediatos, mas destacou a importância do Comitê auxiliar, identificando inclusive outras possibilidades de apoio para incluir Itariri em um projeto de drenagem da Baixada Santista. </w:t>
      </w:r>
      <w:r w:rsidDel="00000000" w:rsidR="00000000" w:rsidRPr="00000000">
        <w:rPr>
          <w:rFonts w:ascii="Arial" w:cs="Arial" w:eastAsia="Arial" w:hAnsi="Arial"/>
          <w:b w:val="1"/>
          <w:bCs w:val="1"/>
          <w:sz w:val="28"/>
          <w:szCs w:val="28"/>
          <w:rtl w:val="0"/>
        </w:rPr>
        <w:t xml:space="preserve">06. Deliberação CBH-BS nº 451, de 28 de agosto de 2025 - Aprova a designação de representantes para o Plenário do CBH-BS e Câmara Técnica, para a gestão 2025-2027; Deliberação aprovada.</w:t>
      </w:r>
      <w:r w:rsidDel="00000000" w:rsidR="00000000" w:rsidRPr="00000000">
        <w:rPr>
          <w:rFonts w:ascii="Arial" w:cs="Arial" w:eastAsia="Arial" w:hAnsi="Arial"/>
          <w:sz w:val="28"/>
          <w:szCs w:val="28"/>
          <w:rtl w:val="0"/>
        </w:rPr>
        <w:t xml:space="preserve"> Em síntese, na Deliberação consta a manifestação de interesse da Universidade Estadual Paulista - UNESP em participar como membro do Comitê e um Ofício da Associação dos Engenheiros e Arquitetos de Santos pleiteando a vaga de suplente da Liga de Beach Soccer de Guarujá na Câmara Técnica de Planejamento e Gerenciamento. O item 10 do Anexo I do Regulamento do Processo Eleitoral do Segmento Sociedade Civil para o mandato 2025-2027dispõe que, havendo vagas remanescentes nas categorias relacionadas no Edital, as entidades interessadas poderão, a qualquer momento e até o início do processo eleitoral seguinte, protocolizar os documentos constantes do item 3 do Edital. Assim, após análises, a Câmara Técnica de Assuntos Jurídicos e Institucionais-CTAJI encaminhou a solicitação da UNESP como suplente da Universidade Federal de São Paulo - UNIFESP, na vaga destinada ao segmento Sociedade Civil na categoria Universidades. Foi indicada para a Câmara Técnica de Planejamento e Gerenciamento como representante da Sociedade Civil, a Associação dos Engenheiros e Arquitetos de Santos na vaga de suplente da Liga de Beach Soccer de Guarujá. Aberta a palavra para a participação da plenária, Celso Garagnani esclareceu que existem duas instâncias estatutariamente definidas para o preenchimento de vagas no Comitê. Propôs que as vagas fossem publicadas e que a Sociedade civil agende uma reunião do fórum para preenchê-las. Disse que os membros das Câmaras técnicas, como representantes de entidades no Comitê, são eleitos pelo plenário. Não há objeção para que o plenário preencha as vagas remanescentes de representantes nessas Câmaras. A atribuição de eleger ou decidir o preenchimento de vagas no plenário, para representantes de entidades da Sociedade civil, compete ao Fórum de entidades da sociedade civil, conforme o Estatuto. O Vice-Presidente sugeriu uma reunião com o Fórum da sociedade civil, porém disse que o Estatuto permite o preenchimento das vagas e, devido à ausência de disputa, poderiam incluir as entidades da Sociedade civil, inclusive porque nas Câmaras técnicas do Comitê, havia baixa participação de técnicos e a UNIFESP poderia contribuir de maneira importante. Graziella Baptista, Coordenadora da Câmara Técnica de Assuntos Jurídicos e Institucionais - CTAJI (CETESB) afirmou que não houve ilegalidade no processo e que o tema foi amplamente discutido com a participação de todos, incluindo o representante Celso. Que as regras das vagas remanescentes foram cumpridas e observadas, e apoiou a iniciativa de complementar as vagas. O Presidente considerou que, claramente as decisões não podem contrariar o Estatuto, destacando a necessidade de respaldo jurídico, uma resolução não pode alterar o Estatuto, especialmente quanto à paridade. Ao mesmo tempo, expressou preocupação com as dificuldades para encontrar novos membros e com o declínio crescente da participação da Sociedade, enfatizando a importância da participação qualitativa. Laura Stela explicou que a Deliberação CBH-BS nº 441, de 18 de dezembro de 2024, que aprovou o regulamento do processo eleitoral do segmento Sociedade Civil para o mandato 2025-2027, no item 10 do seu Anexo I, determina: “Após o término deste processo eleitoral e havendo vagas remanescentes, isto é, aquelas vagas não preenchidas nas categorias relacionadas no item 1.1 deste Edital, as entidades interessadas poderão, a qualquer momento e até o início do processo eleitoral seguinte, protocolizar os documentos constantes do item 3 deste Edital, exclusivamente para o e-mail cbhbs@cbhbs.com.br, com vistas à participação ainda no biênio 2025-2027”. As eleições da Sociedade civil foram conduzidas pela Secretaria Executiva, a pedido da própria Sociedade civil, realizando inclusive o cadastramento das entidades. Assim, a UNESP manifestou interesse em participar, com toda a sua documentação encaminhada e analisada pela CTAJI, que a considerou habilitada. O presidente colocou em votação e a Deliberação foi aprovada, com 1 (um) voto contrário da Associação dos Engenheiros e Arquitetos de Cubatão. </w:t>
      </w:r>
      <w:r w:rsidDel="00000000" w:rsidR="00000000" w:rsidRPr="00000000">
        <w:rPr>
          <w:rFonts w:ascii="Arial" w:cs="Arial" w:eastAsia="Arial" w:hAnsi="Arial"/>
          <w:b w:val="1"/>
          <w:bCs w:val="1"/>
          <w:sz w:val="28"/>
          <w:szCs w:val="28"/>
          <w:rtl w:val="0"/>
        </w:rPr>
        <w:t xml:space="preserve">07. Deliberação CBH-BS nº 452, de 28 de agosto de 2025 - Aprova os Planos de Trabalho das Câmaras Técnicas do CBH-BS, para a gestão 2025-2027;</w:t>
      </w:r>
      <w:r w:rsidDel="00000000" w:rsidR="00000000" w:rsidRPr="00000000">
        <w:rPr>
          <w:rFonts w:ascii="Arial" w:cs="Arial" w:eastAsia="Arial" w:hAnsi="Arial"/>
          <w:sz w:val="28"/>
          <w:szCs w:val="28"/>
          <w:rtl w:val="0"/>
        </w:rPr>
        <w:t xml:space="preserve"> </w:t>
      </w:r>
      <w:r w:rsidDel="00000000" w:rsidR="00000000" w:rsidRPr="00000000">
        <w:rPr>
          <w:rFonts w:ascii="Arial" w:cs="Arial" w:eastAsia="Arial" w:hAnsi="Arial"/>
          <w:b w:val="1"/>
          <w:bCs w:val="1"/>
          <w:sz w:val="28"/>
          <w:szCs w:val="28"/>
          <w:rtl w:val="0"/>
        </w:rPr>
        <w:t xml:space="preserve">Deliberação aprovada por unanimidade. </w:t>
      </w:r>
      <w:r w:rsidDel="00000000" w:rsidR="00000000" w:rsidRPr="00000000">
        <w:rPr>
          <w:rFonts w:ascii="Arial" w:cs="Arial" w:eastAsia="Arial" w:hAnsi="Arial"/>
          <w:sz w:val="28"/>
          <w:szCs w:val="28"/>
          <w:rtl w:val="0"/>
        </w:rPr>
        <w:t xml:space="preserve">José Ronal (CETESB), coordenador da Câmara Técnica de Saneamento e Usos Múltiplos – CTSUM, apresentou as principais atividades a serem desenvolvidas, as quais incluem acompanhar estudos de interesse da bacia hidrográfica na área de saneamento, emitindo pareceres e relatórios técnicos para subsidiar as decisões do Comitê, e os planos referentes às quatro vertentes do saneamento, água, esgoto, resíduos sólidos e drenagem. Também abrangem o acompanhamento da elaboração e da implementação de planos e projetos, em especial o plano de macrodrenagem regional e sua integração com os planos de drenagem municipais, bem como o plano diretor de abastecimento de água da Baixada Santista. E ainda contempla outros assuntos de interesse, como as operações de transposições entre bacias, o monitoramento do uso dos recursos hídricos, a qualidade dos cursos d'água, a balneabilidade das praias e os impactos decorrentes de alterações na salinidade da água e do solo. Ainda, propor diretrizes para integração de procedimentos e ações conjuntas entre as instituições responsáveis pela emissão de outorgas e licenciamento ambiental, relacionados à gestão de usos múltiplos. A Câmara também discutirá o aproveitamento múltiplo e proporá procedimentos e ações conjuntas para resolver conflitos relativos aos usos múltiplos dos recursos hídricos. Entre suas atividades, prevê consultas à Câmara Técnica de Usos Múltiplos do CRH, SP Águas, CETESB e SEMIL. Entre os documentos a serem produzidos pela CTSUM, espera-se relatórios anuais das atividades desenvolvidas, análise de EIA/RIMAS em conjunto com as demais câmaras técnicas, elaboração de pareceres técnicos, inclusive sobre os instrumentos de gestão, sobretudo o enquadramento dos corpos d’água em classes de uso preponderantes na UGRHI Baixada Santista. A</w:t>
      </w:r>
      <w:r w:rsidDel="00000000" w:rsidR="00000000" w:rsidRPr="00000000">
        <w:rPr>
          <w:rFonts w:ascii="Arial" w:cs="Arial" w:eastAsia="Arial" w:hAnsi="Arial"/>
          <w:sz w:val="28"/>
          <w:szCs w:val="28"/>
          <w:highlight w:val="yellow"/>
          <w:rtl w:val="0"/>
        </w:rPr>
        <w:t xml:space="preserve"> </w:t>
      </w:r>
      <w:r w:rsidDel="00000000" w:rsidR="00000000" w:rsidRPr="00000000">
        <w:rPr>
          <w:rFonts w:ascii="Arial" w:cs="Arial" w:eastAsia="Arial" w:hAnsi="Arial"/>
          <w:sz w:val="28"/>
          <w:szCs w:val="28"/>
          <w:rtl w:val="0"/>
        </w:rPr>
        <w:t xml:space="preserve">Câmara Técnica de Planejamento e Gerenciamento - CTPG já estruturou quatro Grupos de Trabalho: GT 1 – Vertente Litorânea, GT 2 – Defesa Civil e Mudanças Climáticas, GT 3 – Gestão de Investimentos e GT 4 – Plano de Bacias e Relatório de Situação. O GT1 propõe a discussão sobre desafios costeiros e integração regional, projetos de infraestrutura hídrica e proteção de mananciais e apoio às ações do Gerenciamento Costeiro (GERCO). O GT2 se ocupará com a integração de Planos de Contingência, monitoramento de riscos e eventos climáticos extremos, articulação com a Defesa Civil Municipal/Estadual e análise de impactos ambientais no território. Já o GT 3, de gestão de investimentos, promoverá a definição de critérios de pontuação para projetos, acompanhamento da execução dos empreendimentos financiados com recursos FEHIDRO, a avaliação temporal dos últimos 5 anos (PAPI, PDCs, empreendimentos) e a revisão de planilhas, deliberações e relatórios técnicos. Finalmente, o GT4 promoverá a consolidação do Relatório de Situação da UGRHI-7, a integração com a revisão do Plano de Bacias do Estado, a análise de indicadores ambientais e hídricos e a produção de relatório e versão digital/e-book. Esta CT é responsável ainda por criação de termos de referência padronizados e atualização dos critérios de pontuação para análise das propostas de empreendimentos apresentadas ao CBH-BS para financiamento pelo FEHIDRO, promover o intercâmbio de informações e bases de dados com entidades oficiais como CRHI, CETESB, DataGeo e Conectividade Verde, além de acompanhar a revisão do plano de bacia, em possível parceria com a SP Águas. O Plano de trabalho da Câmara Técnica de Educação Ambiental – CTEA prevê a elaboração e acompanhamento dos planos de comunicação e de educação ambiental, elaboração de materiais pedagógicos, mapeamento de iniciativas de educação ambiental na região, para subsidiar a capacitação e formação continuada de atores  estratégicos para a gestão de recursos hídricos. A CTAJI assessora o comitê </w:t>
      </w:r>
      <w:r w:rsidDel="00000000" w:rsidR="00000000" w:rsidRPr="00000000">
        <w:rPr>
          <w:rFonts w:ascii="Arial" w:cs="Arial" w:eastAsia="Arial" w:hAnsi="Arial"/>
          <w:color w:val="1e1e1e"/>
          <w:sz w:val="28"/>
          <w:szCs w:val="28"/>
          <w:rtl w:val="0"/>
        </w:rPr>
        <w:t xml:space="preserve">nos assuntos jurídicos e institucionais de seu interesse, </w:t>
      </w:r>
      <w:r w:rsidDel="00000000" w:rsidR="00000000" w:rsidRPr="00000000">
        <w:rPr>
          <w:rFonts w:ascii="Arial" w:cs="Arial" w:eastAsia="Arial" w:hAnsi="Arial"/>
          <w:sz w:val="28"/>
          <w:szCs w:val="28"/>
          <w:rtl w:val="0"/>
        </w:rPr>
        <w:t xml:space="preserve">fornecendo conformidade legal,</w:t>
      </w:r>
      <w:r w:rsidDel="00000000" w:rsidR="00000000" w:rsidRPr="00000000">
        <w:rPr>
          <w:rFonts w:ascii="Arial" w:cs="Arial" w:eastAsia="Arial" w:hAnsi="Arial"/>
          <w:color w:val="1e1e1e"/>
          <w:sz w:val="28"/>
          <w:szCs w:val="28"/>
          <w:rtl w:val="0"/>
        </w:rPr>
        <w:t xml:space="preserve"> e desta forma apresentando em seu Plano de trabalho o acompanhamento de  estudos relacionados aos recursos hídricos na esfera jurídica, emitindo pareceres e relatórios, analisar a documentação das entidades da sociedade civil, conforme regramento do processo eleitoral, para eleição dos membros da sociedade civil no CBH-BS, rever periodicamente o Estatuto e o Regimento Interno propondo eventuais alterações</w:t>
      </w:r>
      <w:r w:rsidDel="00000000" w:rsidR="00000000" w:rsidRPr="00000000">
        <w:rPr>
          <w:rFonts w:ascii="Arial" w:cs="Arial" w:eastAsia="Arial" w:hAnsi="Arial"/>
          <w:sz w:val="28"/>
          <w:szCs w:val="28"/>
          <w:rtl w:val="0"/>
        </w:rPr>
        <w:t xml:space="preserve">. Ao final das apresentações, foi sugerida alteração no Plano de trabalho da CTPG quanto à promoção de intercâmbio de informações e bases de dados com entidades oficiais, com a inclusão da Sala de Situação da Baixada Santista e do Sistema Integrado de Bacias Hidrográficas - SIBH, incluindo "entre outros", pois existem outros sistemas de informação relevantes para o Comitê que poderiam ser considerados. A Deliberação foi aprovada com a inclusão da proposta. </w:t>
      </w:r>
      <w:r w:rsidDel="00000000" w:rsidR="00000000" w:rsidRPr="00000000">
        <w:rPr>
          <w:rFonts w:ascii="Arial" w:cs="Arial" w:eastAsia="Arial" w:hAnsi="Arial"/>
          <w:b w:val="1"/>
          <w:bCs w:val="1"/>
          <w:sz w:val="28"/>
          <w:szCs w:val="28"/>
          <w:rtl w:val="0"/>
        </w:rPr>
        <w:t xml:space="preserve">08. Deliberação CBH-BS nº 455, de 28 de agosto de 2025 - Aprova critérios e fornece instruções para participação de membros da Sociedade Civil e Estado em eventos, utilizando recursos do CBH-BS; Deliberação aprovada por unanimidade. </w:t>
      </w:r>
      <w:r w:rsidDel="00000000" w:rsidR="00000000" w:rsidRPr="00000000">
        <w:rPr>
          <w:rFonts w:ascii="Arial" w:cs="Arial" w:eastAsia="Arial" w:hAnsi="Arial"/>
          <w:sz w:val="28"/>
          <w:szCs w:val="28"/>
          <w:rtl w:val="0"/>
        </w:rPr>
        <w:t xml:space="preserve">A Deliberação</w:t>
      </w:r>
      <w:r w:rsidDel="00000000" w:rsidR="00000000" w:rsidRPr="00000000">
        <w:rPr>
          <w:rFonts w:ascii="Arial" w:cs="Arial" w:eastAsia="Arial" w:hAnsi="Arial"/>
          <w:b w:val="1"/>
          <w:bCs w:val="1"/>
          <w:sz w:val="28"/>
          <w:szCs w:val="28"/>
          <w:rtl w:val="0"/>
        </w:rPr>
        <w:t xml:space="preserve"> </w:t>
      </w:r>
      <w:r w:rsidDel="00000000" w:rsidR="00000000" w:rsidRPr="00000000">
        <w:rPr>
          <w:rFonts w:ascii="Arial" w:cs="Arial" w:eastAsia="Arial" w:hAnsi="Arial"/>
          <w:sz w:val="28"/>
          <w:szCs w:val="28"/>
          <w:rtl w:val="0"/>
        </w:rPr>
        <w:t xml:space="preserve">apresentou proposta para for</w:t>
      </w:r>
      <w:r w:rsidDel="00000000" w:rsidR="00000000" w:rsidRPr="00000000">
        <w:rPr>
          <w:sz w:val="28"/>
          <w:szCs w:val="28"/>
          <w:rtl w:val="0"/>
        </w:rPr>
        <w:t xml:space="preserve">m</w:t>
      </w:r>
      <w:r w:rsidDel="00000000" w:rsidR="00000000" w:rsidRPr="00000000">
        <w:rPr>
          <w:rFonts w:ascii="Arial" w:cs="Arial" w:eastAsia="Arial" w:hAnsi="Arial"/>
          <w:sz w:val="28"/>
          <w:szCs w:val="28"/>
          <w:rtl w:val="0"/>
        </w:rPr>
        <w:t xml:space="preserve">alização do custeio de despesas em eventos ou reuniões externas, que sejam de assunto pertinente ao CBH-BS, estabelecendo procedimentos desde a inscrição, com justificativa de interesse de participação, que será avaliada  por critérios de seleção, e, no retorno, a exigência de Relatório detalhando a participação e os resultados aplicáveis às atividades do Comitê, bem como instruções para prestação de contas e posterior reembolso das despesas efetuadas. </w:t>
      </w:r>
      <w:r w:rsidDel="00000000" w:rsidR="00000000" w:rsidRPr="00000000">
        <w:rPr>
          <w:rFonts w:ascii="Arial" w:cs="Arial" w:eastAsia="Arial" w:hAnsi="Arial"/>
          <w:b w:val="1"/>
          <w:bCs w:val="1"/>
          <w:sz w:val="28"/>
          <w:szCs w:val="28"/>
          <w:rtl w:val="0"/>
        </w:rPr>
        <w:t xml:space="preserve">09. Deliberação CBH-BS nº 456, de 28 de agosto de 2025, que Aprova o Parecer Técnico CBH-BS/CTPG/2025/01 com manifestação sobre a proposta de criação da RPPN Sítio Tijucopava - Município de Itanhaém – SP; Deliberação aprovada por unanimidade. </w:t>
      </w:r>
      <w:r w:rsidDel="00000000" w:rsidR="00000000" w:rsidRPr="00000000">
        <w:rPr>
          <w:rFonts w:ascii="Arial" w:cs="Arial" w:eastAsia="Arial" w:hAnsi="Arial"/>
          <w:sz w:val="28"/>
          <w:szCs w:val="28"/>
          <w:rtl w:val="0"/>
        </w:rPr>
        <w:t xml:space="preserve">A Secretária Adjunta apresentou. Trata-se de consulta encaminhada pela Fundação Florestal ao CBH-BS, referente ao processo de reconhecimento da Reserva Particular do Patrimônio Natural – RPPN Sítio Tijucopava, localizada no Município de Itanhaém.A CTPG elaborou parecer, manifestando-se favoravelmente à criação da RPPN Sítio Tijucopava, por não haver interferências em projetos em andamento ou aprovados no âmbito do Comitê, e considerando a relevância da medida para a proteção ambiental e fortalecimento das políticas públicas de conservação. Foram consideradas ainda a manifestação oficial da Prefeitura Municipal de Itanhaém, favorável à criação da RPPN. </w:t>
      </w:r>
      <w:r w:rsidDel="00000000" w:rsidR="00000000" w:rsidRPr="00000000">
        <w:rPr>
          <w:rFonts w:ascii="Arial" w:cs="Arial" w:eastAsia="Arial" w:hAnsi="Arial"/>
          <w:b w:val="1"/>
          <w:bCs w:val="1"/>
          <w:sz w:val="28"/>
          <w:szCs w:val="28"/>
          <w:rtl w:val="0"/>
        </w:rPr>
        <w:t xml:space="preserve">10. Assuntos Gerais.  </w:t>
      </w:r>
      <w:r w:rsidDel="00000000" w:rsidR="00000000" w:rsidRPr="00000000">
        <w:rPr>
          <w:rFonts w:ascii="Arial" w:cs="Arial" w:eastAsia="Arial" w:hAnsi="Arial"/>
          <w:sz w:val="28"/>
          <w:szCs w:val="28"/>
          <w:rtl w:val="0"/>
        </w:rPr>
        <w:t xml:space="preserve"> Cléber Ferrão (Universidade UNISANTOS) convidou todos a participarem do Workshop "Lixo no Mar: Combate na Baixada Santista", financiado com recursos do FEHIDRO, com objetivo principal de desenvolver um documento voltado ao combate e controle do lixo marinho na região da Baixada Santista. O Presidente informou sobre a realização do “Seminário internacional da ONU - Habitat”, focado na habitabilidade urbana, durante o mês de outubro. Os temas incluem ação climática, moradia adequada, redução de desigualdades, inovação e cidades inteligentes, saneamento e resiliência hídrica. Praia Grande já se inscreveu, e sugeriu uma iniciativa regional abrangente, convidando os municípios da Baixada para uma participação conjunta.  </w:t>
      </w:r>
      <w:r w:rsidDel="00000000" w:rsidR="00000000" w:rsidRPr="00000000">
        <w:rPr>
          <w:rFonts w:ascii="Arial" w:cs="Arial" w:eastAsia="Arial" w:hAnsi="Arial"/>
          <w:b w:val="1"/>
          <w:bCs w:val="1"/>
          <w:sz w:val="28"/>
          <w:szCs w:val="28"/>
          <w:rtl w:val="0"/>
        </w:rPr>
        <w:t xml:space="preserve">11. Encerramento. </w:t>
      </w:r>
      <w:r w:rsidDel="00000000" w:rsidR="00000000" w:rsidRPr="00000000">
        <w:rPr>
          <w:rFonts w:ascii="Arial" w:cs="Arial" w:eastAsia="Arial" w:hAnsi="Arial"/>
          <w:sz w:val="28"/>
          <w:szCs w:val="28"/>
          <w:rtl w:val="0"/>
        </w:rPr>
        <w:t xml:space="preserve">Cumprida a Ordem do dia e, não havendo mais assuntos a serem tratados, o Presidente do Comitê, Alberto Pereira Mourão, encerrou a reunião, agradecendo a todos pela participação. Esta Ata resumida foi elaborada pela transcrição da reunião.  </w:t>
      </w:r>
      <w:r w:rsidDel="00000000" w:rsidR="00000000" w:rsidRPr="00000000">
        <w:rPr>
          <w:rtl w:val="0"/>
        </w:rPr>
      </w:r>
    </w:p>
    <w:sectPr>
      <w:headerReference r:id="rId8" w:type="default"/>
      <w:footerReference r:id="rId9" w:type="default"/>
      <w:pgSz w:h="16840" w:w="11920" w:orient="portrait"/>
      <w:pgMar w:bottom="1040" w:top="1985" w:left="1418" w:right="1288" w:header="477" w:footer="854"/>
      <w:lnNumType w:countBy="1" w:start="0" w:restart="continuous"/>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5078412</wp:posOffset>
              </wp:positionH>
              <wp:positionV relativeFrom="paragraph">
                <wp:posOffset>10006965</wp:posOffset>
              </wp:positionV>
              <wp:extent cx="789305" cy="174625"/>
              <wp:effectExtent b="0" l="0" r="0" t="0"/>
              <wp:wrapNone/>
              <wp:docPr id="18" name=""/>
              <a:graphic>
                <a:graphicData uri="http://schemas.microsoft.com/office/word/2010/wordprocessingShape">
                  <wps:wsp>
                    <wps:cNvSpPr/>
                    <wps:cNvPr id="2" name="Shape 2"/>
                    <wps:spPr>
                      <a:xfrm>
                        <a:off x="4956110" y="3697450"/>
                        <a:ext cx="779780" cy="165100"/>
                      </a:xfrm>
                      <a:prstGeom prst="rect">
                        <a:avLst/>
                      </a:prstGeom>
                      <a:noFill/>
                      <a:ln>
                        <a:noFill/>
                      </a:ln>
                    </wps:spPr>
                    <wps:txbx>
                      <w:txbxContent>
                        <w:p w:rsidR="00000000" w:rsidDel="00000000" w:rsidP="00000000" w:rsidRDefault="00000000" w:rsidRPr="00000000">
                          <w:pPr>
                            <w:spacing w:after="0" w:before="0" w:line="243.99999618530273"/>
                            <w:ind w:left="20" w:right="0" w:firstLine="20"/>
                            <w:jc w:val="left"/>
                            <w:textDirection w:val="btLr"/>
                          </w:pPr>
                          <w:r w:rsidDel="00000000" w:rsidR="00000000" w:rsidRPr="00000000">
                            <w:rPr>
                              <w:rFonts w:ascii="Calibri" w:cs="Calibri" w:eastAsia="Calibri" w:hAnsi="Calibri"/>
                              <w:b w:val="0"/>
                              <w:i w:val="0"/>
                              <w:smallCaps w:val="0"/>
                              <w:strike w:val="0"/>
                              <w:color w:val="000000"/>
                              <w:sz w:val="28"/>
                              <w:vertAlign w:val="baseline"/>
                            </w:rPr>
                            <w:t xml:space="preserve">Página  PAGE 11 de  NUMPAGES 11</w:t>
                          </w: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column">
                <wp:posOffset>5078412</wp:posOffset>
              </wp:positionH>
              <wp:positionV relativeFrom="paragraph">
                <wp:posOffset>10006965</wp:posOffset>
              </wp:positionV>
              <wp:extent cx="789305" cy="174625"/>
              <wp:effectExtent b="0" l="0" r="0" t="0"/>
              <wp:wrapNone/>
              <wp:docPr id="18" name="image2.png"/>
              <a:graphic>
                <a:graphicData uri="http://schemas.openxmlformats.org/drawingml/2006/picture">
                  <pic:pic>
                    <pic:nvPicPr>
                      <pic:cNvPr id="0" name="image2.png"/>
                      <pic:cNvPicPr preferRelativeResize="0"/>
                    </pic:nvPicPr>
                    <pic:blipFill>
                      <a:blip r:embed="rId1"/>
                      <a:srcRect/>
                      <a:stretch>
                        <a:fillRect/>
                      </a:stretch>
                    </pic:blipFill>
                    <pic:spPr>
                      <a:xfrm>
                        <a:off x="0" y="0"/>
                        <a:ext cx="789305" cy="174625"/>
                      </a:xfrm>
                      <a:prstGeom prst="rect"/>
                      <a:ln/>
                    </pic:spPr>
                  </pic:pic>
                </a:graphicData>
              </a:graphic>
            </wp:anchor>
          </w:drawing>
        </mc:Fallback>
      </mc:AlternateConten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Pr>
      <w:drawing>
        <wp:anchor allowOverlap="1" behindDoc="1" distB="0" distT="0" distL="0" distR="0" hidden="0" layoutInCell="1" locked="0" relativeHeight="0" simplePos="0">
          <wp:simplePos x="0" y="0"/>
          <wp:positionH relativeFrom="page">
            <wp:posOffset>5652134</wp:posOffset>
          </wp:positionH>
          <wp:positionV relativeFrom="page">
            <wp:posOffset>302895</wp:posOffset>
          </wp:positionV>
          <wp:extent cx="1535684" cy="680084"/>
          <wp:effectExtent b="0" l="0" r="0" t="0"/>
          <wp:wrapNone/>
          <wp:docPr id="20"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535684" cy="680084"/>
                  </a:xfrm>
                  <a:prstGeom prst="rect"/>
                  <a:ln/>
                </pic:spPr>
              </pic:pic>
            </a:graphicData>
          </a:graphic>
        </wp:anchor>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pt_PT"/>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ind w:left="852" w:hanging="840"/>
    </w:pPr>
    <w:rPr>
      <w:rFonts w:ascii="Arial" w:cs="Arial" w:eastAsia="Arial" w:hAnsi="Arial"/>
      <w:b w:val="1"/>
      <w:bCs w:val="1"/>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spacing w:before="172" w:lineRule="auto"/>
      <w:ind w:left="2500" w:hanging="3197"/>
    </w:pPr>
    <w:rPr>
      <w:rFonts w:ascii="Arial" w:cs="Arial" w:eastAsia="Arial" w:hAnsi="Arial"/>
      <w:b w:val="1"/>
      <w:bCs w:val="1"/>
      <w:sz w:val="24"/>
      <w:szCs w:val="24"/>
    </w:rPr>
  </w:style>
  <w:style w:type="character" w:styleId="Fontepargpadro" w:default="1">
    <w:name w:val="Default Paragraph Font"/>
    <w:uiPriority w:val="1"/>
    <w:semiHidden w:val="1"/>
    <w:unhideWhenUsed w:val="1"/>
  </w:style>
  <w:style w:type="table" w:styleId="Tabe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table" w:styleId="TableNormal1" w:customStyle="1">
    <w:name w:val="Table Normal1"/>
    <w:uiPriority w:val="2"/>
    <w:semiHidden w:val="1"/>
    <w:unhideWhenUsed w:val="1"/>
    <w:qFormat w:val="1"/>
    <w:tblPr>
      <w:tblInd w:w="0.0" w:type="dxa"/>
      <w:tblCellMar>
        <w:top w:w="0.0" w:type="dxa"/>
        <w:left w:w="0.0" w:type="dxa"/>
        <w:bottom w:w="0.0" w:type="dxa"/>
        <w:right w:w="0.0" w:type="dxa"/>
      </w:tblCellMar>
    </w:tblPr>
  </w:style>
  <w:style w:type="paragraph" w:styleId="Corpodetexto">
    <w:name w:val="Body Text"/>
    <w:basedOn w:val="Normal"/>
    <w:uiPriority w:val="1"/>
    <w:qFormat w:val="1"/>
    <w:pPr>
      <w:spacing w:before="15"/>
      <w:ind w:left="852" w:hanging="840"/>
    </w:pPr>
  </w:style>
  <w:style w:type="paragraph" w:styleId="PargrafodaLista">
    <w:name w:val="List Paragraph"/>
    <w:basedOn w:val="Normal"/>
    <w:uiPriority w:val="1"/>
    <w:qFormat w:val="1"/>
    <w:pPr>
      <w:spacing w:before="15"/>
      <w:ind w:left="852" w:hanging="840"/>
    </w:pPr>
  </w:style>
  <w:style w:type="paragraph" w:styleId="TableParagraph" w:customStyle="1">
    <w:name w:val="Table Paragraph"/>
    <w:basedOn w:val="Normal"/>
    <w:uiPriority w:val="1"/>
    <w:qFormat w:val="1"/>
  </w:style>
  <w:style w:type="paragraph" w:styleId="Textodebalo">
    <w:name w:val="Balloon Text"/>
    <w:basedOn w:val="Normal"/>
    <w:link w:val="TextodebaloChar"/>
    <w:uiPriority w:val="99"/>
    <w:semiHidden w:val="1"/>
    <w:unhideWhenUsed w:val="1"/>
    <w:rsid w:val="00EC44AB"/>
    <w:rPr>
      <w:rFonts w:ascii="Tahoma" w:cs="Tahoma" w:hAnsi="Tahoma"/>
      <w:sz w:val="16"/>
      <w:szCs w:val="16"/>
    </w:rPr>
  </w:style>
  <w:style w:type="character" w:styleId="TextodebaloChar" w:customStyle="1">
    <w:name w:val="Texto de balão Char"/>
    <w:basedOn w:val="Fontepargpadro"/>
    <w:link w:val="Textodebalo"/>
    <w:uiPriority w:val="99"/>
    <w:semiHidden w:val="1"/>
    <w:rsid w:val="00EC44AB"/>
    <w:rPr>
      <w:rFonts w:ascii="Tahoma" w:cs="Tahoma" w:eastAsia="Arial MT" w:hAnsi="Tahoma"/>
      <w:sz w:val="16"/>
      <w:szCs w:val="16"/>
      <w:lang w:val="pt-PT"/>
    </w:rPr>
  </w:style>
  <w:style w:type="character" w:styleId="Nmerodelinha">
    <w:name w:val="line number"/>
    <w:basedOn w:val="Fontepargpadro"/>
    <w:uiPriority w:val="99"/>
    <w:semiHidden w:val="1"/>
    <w:unhideWhenUsed w:val="1"/>
    <w:rsid w:val="001B1788"/>
  </w:style>
  <w:style w:type="character" w:styleId="Hyperlink">
    <w:name w:val="Hyperlink"/>
    <w:basedOn w:val="Fontepargpadro"/>
    <w:uiPriority w:val="99"/>
    <w:unhideWhenUsed w:val="1"/>
    <w:rsid w:val="009F5245"/>
    <w:rPr>
      <w:color w:val="0000ff" w:themeColor="hyperlink"/>
      <w:u w:val="single"/>
    </w:rPr>
  </w:style>
  <w:style w:type="paragraph" w:styleId="NormalWeb">
    <w:name w:val="Normal (Web)"/>
    <w:basedOn w:val="Normal"/>
    <w:uiPriority w:val="99"/>
    <w:semiHidden w:val="1"/>
    <w:unhideWhenUsed w:val="1"/>
    <w:rsid w:val="00B079A5"/>
    <w:rPr>
      <w:rFonts w:ascii="Times New Roman" w:cs="Times New Roman" w:hAnsi="Times New Roman"/>
      <w:sz w:val="24"/>
      <w:szCs w:val="24"/>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fontTable" Target="fontTable.xml"/><Relationship Id="rId7" Type="http://schemas.openxmlformats.org/officeDocument/2006/relationships/image" Target="media/image2.png"/><Relationship Id="rId12" Type="http://schemas.openxmlformats.org/officeDocument/2006/relationships/customXml" Target="../customXML/item4.xml"/><Relationship Id="rId2" Type="http://schemas.openxmlformats.org/officeDocument/2006/relationships/settings" Target="settings.xml"/><Relationship Id="rId1" Type="http://schemas.openxmlformats.org/officeDocument/2006/relationships/theme" Target="theme/theme1.xml"/><Relationship Id="rId6" Type="http://schemas.openxmlformats.org/officeDocument/2006/relationships/customXml" Target="../customXML/item1.xml"/><Relationship Id="rId11" Type="http://schemas.openxmlformats.org/officeDocument/2006/relationships/customXml" Target="../customXML/item3.xml"/><Relationship Id="rId5" Type="http://schemas.openxmlformats.org/officeDocument/2006/relationships/styles" Target="styles.xml"/><Relationship Id="rId10" Type="http://schemas.openxmlformats.org/officeDocument/2006/relationships/customXml" Target="../customXML/item2.xml"/><Relationship Id="rId4" Type="http://schemas.openxmlformats.org/officeDocument/2006/relationships/numbering" Target="numbering.xml"/><Relationship Id="rId9"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EWwm1AQzWVGHZIE2UrTJFXN69dg==">CgMxLjAyDmguanVjaGptazVzeTExOAByITFJLUplYXFSNC1yUTdnbl9HdS10VFNqYlA5cTNtS1pMaw==</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o" ma:contentTypeID="0x0101009B12AA7210FA27419783DE01C4B25BC7" ma:contentTypeVersion="11" ma:contentTypeDescription="Crie um novo documento." ma:contentTypeScope="" ma:versionID="362668b40cd6ed2bd0ef97d255b405a2">
  <xsd:schema xmlns:xsd="http://www.w3.org/2001/XMLSchema" xmlns:xs="http://www.w3.org/2001/XMLSchema" xmlns:p="http://schemas.microsoft.com/office/2006/metadata/properties" xmlns:ns2="8d8e7e0b-ab71-4774-893a-73ce4021d2db" xmlns:ns3="89fdb91c-27c2-451f-91f4-b942e139e075" targetNamespace="http://schemas.microsoft.com/office/2006/metadata/properties" ma:root="true" ma:fieldsID="88db308acb6db858a01f7c3c30a8bc90" ns2:_="" ns3:_="">
    <xsd:import namespace="8d8e7e0b-ab71-4774-893a-73ce4021d2db"/>
    <xsd:import namespace="89fdb91c-27c2-451f-91f4-b942e139e07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8e7e0b-ab71-4774-893a-73ce4021d2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Marcações de imagem" ma:readOnly="false" ma:fieldId="{5cf76f15-5ced-4ddc-b409-7134ff3c332f}" ma:taxonomyMulti="true" ma:sspId="bd7d13eb-2383-4fda-93d8-d046d590684c"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9fdb91c-27c2-451f-91f4-b942e139e075"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3f84968b-9566-4ae7-b564-9c32eb5829ee}" ma:internalName="TaxCatchAll" ma:showField="CatchAllData" ma:web="89fdb91c-27c2-451f-91f4-b942e139e07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89fdb91c-27c2-451f-91f4-b942e139e075" xsi:nil="true"/>
    <lcf76f155ced4ddcb4097134ff3c332f xmlns="8d8e7e0b-ab71-4774-893a-73ce4021d2d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2.xml><?xml version="1.0" encoding="utf-8"?>
<ds:datastoreItem xmlns:ds="http://schemas.openxmlformats.org/officeDocument/2006/customXml" ds:itemID="{FB167692-8E35-4BD9-A935-8A30B341BF67}"/>
</file>

<file path=customXML/itemProps3.xml><?xml version="1.0" encoding="utf-8"?>
<ds:datastoreItem xmlns:ds="http://schemas.openxmlformats.org/officeDocument/2006/customXml" ds:itemID="{0538C72D-044E-4B6A-9C68-6E6AA0A394F4}"/>
</file>

<file path=customXML/itemProps4.xml><?xml version="1.0" encoding="utf-8"?>
<ds:datastoreItem xmlns:ds="http://schemas.openxmlformats.org/officeDocument/2006/customXml" ds:itemID="{7BD515D5-790F-4910-A7C3-69D73E582499}"/>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Dartan Bisi</dc:creator>
  <dcterms:created xsi:type="dcterms:W3CDTF">2025-10-01T12:42:00Z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2025-04-01T00:00:00Z</vt:filetime>
  </property>
  <property fmtid="{D5CDD505-2E9C-101B-9397-08002B2CF9AE}" pid="3" name="Creator">
    <vt:lpwstr>Microsoft® Word para Microsoft 365</vt:lpwstr>
  </property>
  <property fmtid="{D5CDD505-2E9C-101B-9397-08002B2CF9AE}" pid="4" name="LastSaved">
    <vt:filetime>2025-04-13T00:00:00Z</vt:filetime>
  </property>
  <property fmtid="{D5CDD505-2E9C-101B-9397-08002B2CF9AE}" pid="5" name="Producer">
    <vt:lpwstr>Microsoft® Word para Microsoft 365</vt:lpwstr>
  </property>
  <property fmtid="{D5CDD505-2E9C-101B-9397-08002B2CF9AE}" pid="6" name="ContentTypeId">
    <vt:lpwstr>0x0101009B12AA7210FA27419783DE01C4B25BC7</vt:lpwstr>
  </property>
</Properties>
</file>